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NOTIFICATION OF LATE FILING</w:t>
      </w:r>
    </w:p>
    <w:p>
      <w:pPr>
        <w:sectPr>
          <w:pgSz w:w="11900" w:h="16838" w:orient="portrait"/>
          <w:cols w:equalWidth="0" w:num="1">
            <w:col w:w="10780"/>
          </w:cols>
          <w:pgMar w:left="440" w:top="368" w:right="679" w:bottom="1440" w:gutter="0" w:footer="0" w:header="0"/>
        </w:sectPr>
      </w:pPr>
    </w:p>
    <w:p>
      <w:pPr>
        <w:spacing w:after="0" w:line="246" w:lineRule="exact"/>
        <w:rPr>
          <w:sz w:val="24"/>
          <w:szCs w:val="24"/>
          <w:color w:val="auto"/>
        </w:rPr>
      </w:pPr>
    </w:p>
    <w:p>
      <w:pPr>
        <w:ind w:left="2080"/>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N-SAR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right"/>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369" w:lineRule="exact"/>
        <w:rPr>
          <w:sz w:val="24"/>
          <w:szCs w:val="24"/>
          <w:color w:val="auto"/>
        </w:rPr>
      </w:pPr>
    </w:p>
    <w:p>
      <w:pPr>
        <w:sectPr>
          <w:pgSz w:w="11900" w:h="16838" w:orient="portrait"/>
          <w:cols w:equalWidth="0" w:num="4">
            <w:col w:w="3020" w:space="280"/>
            <w:col w:w="2520" w:space="20"/>
            <w:col w:w="1440" w:space="80"/>
            <w:col w:w="3420"/>
          </w:cols>
          <w:pgMar w:left="440" w:top="368" w:right="679" w:bottom="1440" w:gutter="0" w:footer="0" w:header="0"/>
          <w:type w:val="continuous"/>
        </w:sectPr>
      </w:pPr>
    </w:p>
    <w:p>
      <w:pPr>
        <w:ind w:left="3300"/>
        <w:spacing w:after="0"/>
        <w:rPr>
          <w:sz w:val="20"/>
          <w:szCs w:val="20"/>
          <w:color w:val="auto"/>
        </w:rPr>
      </w:pPr>
      <w:r>
        <w:rPr>
          <w:rFonts w:ascii="Arial" w:cs="Arial" w:eastAsia="Arial" w:hAnsi="Arial"/>
          <w:sz w:val="18"/>
          <w:szCs w:val="18"/>
          <w:color w:val="auto"/>
        </w:rPr>
        <w:t>For Period Ended: December 31, 2021</w:t>
      </w:r>
    </w:p>
    <w:p>
      <w:pPr>
        <w:spacing w:after="0" w:line="117" w:lineRule="exact"/>
        <w:rPr>
          <w:sz w:val="24"/>
          <w:szCs w:val="24"/>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43"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110"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6926580" cy="36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36830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219"/>
        <w:spacing w:after="0"/>
        <w:rPr>
          <w:sz w:val="20"/>
          <w:szCs w:val="20"/>
          <w:color w:val="auto"/>
        </w:rPr>
      </w:pPr>
      <w:r>
        <w:rPr>
          <w:rFonts w:ascii="Arial" w:cs="Arial" w:eastAsia="Arial" w:hAnsi="Arial"/>
          <w:sz w:val="18"/>
          <w:szCs w:val="18"/>
          <w:i w:val="1"/>
          <w:iCs w:val="1"/>
          <w:color w:val="auto"/>
        </w:rPr>
        <w:t>Read Instructions (on back page) Before Preparing Form. Please Print or Type.</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PART I — REGISTRANT INFORMATION</w:t>
      </w:r>
    </w:p>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ContextLogic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Full Name of Registrant</w:t>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Former Name if Applicable</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One Sansome Street 33rd Floor</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 xml:space="preserve">Address of Principal Executive Office </w:t>
      </w:r>
      <w:r>
        <w:rPr>
          <w:rFonts w:ascii="Arial" w:cs="Arial" w:eastAsia="Arial" w:hAnsi="Arial"/>
          <w:sz w:val="14"/>
          <w:szCs w:val="14"/>
          <w:i w:val="1"/>
          <w:iCs w:val="1"/>
          <w:color w:val="auto"/>
        </w:rPr>
        <w:t>(Street and Number)</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San Francisco, CA 94104</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City, State and Zip Code</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wp:posOffset>
            </wp:positionH>
            <wp:positionV relativeFrom="paragraph">
              <wp:posOffset>134620</wp:posOffset>
            </wp:positionV>
            <wp:extent cx="8255" cy="1080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080135"/>
                    </a:xfrm>
                    <a:prstGeom prst="rect">
                      <a:avLst/>
                    </a:prstGeom>
                    <a:noFill/>
                  </pic:spPr>
                </pic:pic>
              </a:graphicData>
            </a:graphic>
          </wp:anchor>
        </w:drawing>
      </w:r>
    </w:p>
    <w:p>
      <w:pPr>
        <w:spacing w:after="0" w:line="299" w:lineRule="exact"/>
        <w:rPr>
          <w:sz w:val="24"/>
          <w:szCs w:val="24"/>
          <w:color w:val="auto"/>
        </w:rPr>
      </w:pPr>
    </w:p>
    <w:p>
      <w:pPr>
        <w:ind w:left="860" w:hanging="324"/>
        <w:spacing w:after="0"/>
        <w:tabs>
          <w:tab w:leader="none" w:pos="8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 described in reasonable detail in Part III of this form could not be eliminated without unreasonable effort or expense</w:t>
      </w:r>
    </w:p>
    <w:p>
      <w:pPr>
        <w:spacing w:after="0" w:line="155" w:lineRule="exact"/>
        <w:rPr>
          <w:rFonts w:ascii="Arial" w:cs="Arial" w:eastAsia="Arial" w:hAnsi="Arial"/>
          <w:sz w:val="17"/>
          <w:szCs w:val="17"/>
          <w:color w:val="auto"/>
        </w:rPr>
      </w:pPr>
    </w:p>
    <w:p>
      <w:pPr>
        <w:ind w:left="860" w:hanging="324"/>
        <w:spacing w:after="0"/>
        <w:tabs>
          <w:tab w:leader="none" w:pos="8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w:t>
      </w:r>
    </w:p>
    <w:p>
      <w:pPr>
        <w:spacing w:after="0" w:line="46" w:lineRule="exact"/>
        <w:rPr>
          <w:rFonts w:ascii="Arial" w:cs="Arial" w:eastAsia="Arial" w:hAnsi="Arial"/>
          <w:sz w:val="16"/>
          <w:szCs w:val="16"/>
          <w:color w:val="auto"/>
        </w:rPr>
      </w:pPr>
    </w:p>
    <w:p>
      <w:pPr>
        <w:ind w:left="860" w:hanging="720"/>
        <w:spacing w:after="0" w:line="200" w:lineRule="auto"/>
        <w:tabs>
          <w:tab w:leader="none" w:pos="86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23" w:lineRule="exact"/>
        <w:rPr>
          <w:rFonts w:ascii="MS PGothic" w:cs="MS PGothic" w:eastAsia="MS PGothic" w:hAnsi="MS PGothic"/>
          <w:sz w:val="36"/>
          <w:szCs w:val="36"/>
          <w:color w:val="auto"/>
          <w:vertAlign w:val="subscript"/>
        </w:rPr>
      </w:pPr>
    </w:p>
    <w:p>
      <w:pPr>
        <w:ind w:left="860" w:hanging="324"/>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ectPr>
          <w:pgSz w:w="11900" w:h="16838" w:orient="portrait"/>
          <w:cols w:equalWidth="0" w:num="1">
            <w:col w:w="10780"/>
          </w:cols>
          <w:pgMar w:left="440" w:top="368" w:right="67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ContextLogic Inc. (the “Company”) was unable, without unreasonable effort or expense, to file its Annual Report on Form 10-K for the year ended December 31, 2021 (the “Form 10-K”) by the March 1, 2022 filing deadline. The Company has identified material weaknesses and is still in the process of compiling required information to complete the Form 10-K and to allow time for its independent registered public accounting firm to complete its audits of the financial statements and internal control over financial reporting, and expects to file the Form 10-K within the grace period prescribed by Rule 12b-25.</w:t>
      </w:r>
    </w:p>
    <w:p>
      <w:pPr>
        <w:sectPr>
          <w:pgSz w:w="11900" w:h="16838" w:orient="portrait"/>
          <w:cols w:equalWidth="0" w:num="1">
            <w:col w:w="10960"/>
          </w:cols>
          <w:pgMar w:left="440" w:top="121" w:right="499"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IV — OTHER INFORMATION</w:t>
      </w:r>
    </w:p>
    <w:p>
      <w:pPr>
        <w:spacing w:after="0" w:line="256" w:lineRule="exact"/>
        <w:rPr>
          <w:sz w:val="20"/>
          <w:szCs w:val="20"/>
          <w:color w:val="auto"/>
        </w:rPr>
      </w:pPr>
    </w:p>
    <w:p>
      <w:pPr>
        <w:ind w:left="704" w:hanging="704"/>
        <w:spacing w:after="0"/>
        <w:tabs>
          <w:tab w:leader="none" w:pos="70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584" w:type="dxa"/>
        <w:tblCellMar>
          <w:top w:w="0" w:type="dxa"/>
          <w:left w:w="0" w:type="dxa"/>
          <w:bottom w:w="0" w:type="dxa"/>
          <w:right w:w="0" w:type="dxa"/>
        </w:tblCellMar>
      </w:tblPr>
      <w:tr>
        <w:trPr>
          <w:trHeight w:val="230"/>
        </w:trPr>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Devang S. Shah</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415</w:t>
            </w:r>
          </w:p>
        </w:tc>
        <w:tc>
          <w:tcPr>
            <w:tcW w:w="320" w:type="dxa"/>
            <w:vAlign w:val="bottom"/>
          </w:tcPr>
          <w:p>
            <w:pPr>
              <w:spacing w:after="0"/>
              <w:rPr>
                <w:sz w:val="20"/>
                <w:szCs w:val="20"/>
                <w:color w:val="auto"/>
              </w:rPr>
            </w:pPr>
          </w:p>
        </w:tc>
        <w:tc>
          <w:tcPr>
            <w:tcW w:w="4080" w:type="dxa"/>
            <w:vAlign w:val="bottom"/>
          </w:tcPr>
          <w:p>
            <w:pPr>
              <w:jc w:val="right"/>
              <w:ind w:right="1559"/>
              <w:spacing w:after="0"/>
              <w:rPr>
                <w:sz w:val="20"/>
                <w:szCs w:val="20"/>
                <w:color w:val="auto"/>
              </w:rPr>
            </w:pPr>
            <w:r>
              <w:rPr>
                <w:rFonts w:ascii="Arial" w:cs="Arial" w:eastAsia="Arial" w:hAnsi="Arial"/>
                <w:sz w:val="18"/>
                <w:szCs w:val="18"/>
                <w:color w:val="auto"/>
              </w:rPr>
              <w:t>432-7323</w:t>
            </w:r>
          </w:p>
        </w:tc>
      </w:tr>
      <w:tr>
        <w:trPr>
          <w:trHeight w:val="176"/>
        </w:trPr>
        <w:tc>
          <w:tcPr>
            <w:tcW w:w="4080" w:type="dxa"/>
            <w:vAlign w:val="bottom"/>
            <w:tcBorders>
              <w:top w:val="single" w:sz="8" w:color="auto"/>
            </w:tcBorders>
          </w:tcPr>
          <w:p>
            <w:pPr>
              <w:jc w:val="center"/>
              <w:ind w:left="39"/>
              <w:spacing w:after="0"/>
              <w:rPr>
                <w:sz w:val="20"/>
                <w:szCs w:val="20"/>
                <w:color w:val="auto"/>
              </w:rPr>
            </w:pPr>
            <w:r>
              <w:rPr>
                <w:rFonts w:ascii="Arial" w:cs="Arial" w:eastAsia="Arial" w:hAnsi="Arial"/>
                <w:sz w:val="14"/>
                <w:szCs w:val="14"/>
                <w:color w:val="auto"/>
                <w:w w:val="94"/>
              </w:rPr>
              <w:t>(Name)</w:t>
            </w:r>
          </w:p>
        </w:tc>
        <w:tc>
          <w:tcPr>
            <w:tcW w:w="320" w:type="dxa"/>
            <w:vAlign w:val="bottom"/>
          </w:tcPr>
          <w:p>
            <w:pPr>
              <w:spacing w:after="0"/>
              <w:rPr>
                <w:sz w:val="15"/>
                <w:szCs w:val="15"/>
                <w:color w:val="auto"/>
              </w:rPr>
            </w:pPr>
          </w:p>
        </w:tc>
        <w:tc>
          <w:tcPr>
            <w:tcW w:w="1640" w:type="dxa"/>
            <w:vAlign w:val="bottom"/>
            <w:tcBorders>
              <w:top w:val="single" w:sz="8" w:color="auto"/>
            </w:tcBorders>
          </w:tcPr>
          <w:p>
            <w:pPr>
              <w:jc w:val="center"/>
              <w:ind w:left="39"/>
              <w:spacing w:after="0"/>
              <w:rPr>
                <w:sz w:val="20"/>
                <w:szCs w:val="20"/>
                <w:color w:val="auto"/>
              </w:rPr>
            </w:pPr>
            <w:r>
              <w:rPr>
                <w:rFonts w:ascii="Arial" w:cs="Arial" w:eastAsia="Arial" w:hAnsi="Arial"/>
                <w:sz w:val="14"/>
                <w:szCs w:val="14"/>
                <w:color w:val="auto"/>
                <w:w w:val="94"/>
              </w:rPr>
              <w:t>(Area Code)</w:t>
            </w:r>
          </w:p>
        </w:tc>
        <w:tc>
          <w:tcPr>
            <w:tcW w:w="320" w:type="dxa"/>
            <w:vAlign w:val="bottom"/>
          </w:tcPr>
          <w:p>
            <w:pPr>
              <w:spacing w:after="0"/>
              <w:rPr>
                <w:sz w:val="15"/>
                <w:szCs w:val="15"/>
                <w:color w:val="auto"/>
              </w:rPr>
            </w:pPr>
          </w:p>
        </w:tc>
        <w:tc>
          <w:tcPr>
            <w:tcW w:w="4080" w:type="dxa"/>
            <w:vAlign w:val="bottom"/>
            <w:tcBorders>
              <w:top w:val="single" w:sz="8" w:color="auto"/>
            </w:tcBorders>
          </w:tcPr>
          <w:p>
            <w:pPr>
              <w:jc w:val="center"/>
              <w:ind w:left="39"/>
              <w:spacing w:after="0"/>
              <w:rPr>
                <w:sz w:val="20"/>
                <w:szCs w:val="20"/>
                <w:color w:val="auto"/>
              </w:rPr>
            </w:pPr>
            <w:r>
              <w:rPr>
                <w:rFonts w:ascii="Arial" w:cs="Arial" w:eastAsia="Arial" w:hAnsi="Arial"/>
                <w:sz w:val="14"/>
                <w:szCs w:val="14"/>
                <w:color w:val="auto"/>
                <w:w w:val="92"/>
              </w:rPr>
              <w:t>(Telephone Number)</w:t>
            </w:r>
          </w:p>
        </w:tc>
      </w:tr>
    </w:tbl>
    <w:p>
      <w:pPr>
        <w:spacing w:after="0" w:line="60" w:lineRule="exact"/>
        <w:rPr>
          <w:sz w:val="20"/>
          <w:szCs w:val="20"/>
          <w:color w:val="auto"/>
        </w:rPr>
      </w:pPr>
    </w:p>
    <w:p>
      <w:pPr>
        <w:jc w:val="both"/>
        <w:ind w:left="704" w:right="340" w:hanging="704"/>
        <w:spacing w:after="0" w:line="287" w:lineRule="auto"/>
        <w:tabs>
          <w:tab w:leader="none" w:pos="704"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704"/>
        <w:spacing w:after="0" w:line="207" w:lineRule="exact"/>
        <w:tabs>
          <w:tab w:leader="none" w:pos="3724" w:val="left"/>
          <w:tab w:leader="none" w:pos="4424" w:val="left"/>
        </w:tabs>
        <w:rPr>
          <w:sz w:val="20"/>
          <w:szCs w:val="20"/>
          <w:color w:val="auto"/>
        </w:rPr>
      </w:pPr>
      <w:r>
        <w:rPr>
          <w:rFonts w:ascii="Arial" w:cs="Arial" w:eastAsia="Arial" w:hAnsi="Arial"/>
          <w:sz w:val="18"/>
          <w:szCs w:val="18"/>
          <w:color w:val="auto"/>
        </w:rPr>
        <w:t>filed? If answer is no, identify report(s).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283210</wp:posOffset>
            </wp:positionV>
            <wp:extent cx="6626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704" w:hanging="704"/>
        <w:spacing w:after="0"/>
        <w:tabs>
          <w:tab w:leader="none" w:pos="704"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w:t>
      </w:r>
    </w:p>
    <w:p>
      <w:pPr>
        <w:spacing w:after="0" w:line="41" w:lineRule="exact"/>
        <w:rPr>
          <w:sz w:val="20"/>
          <w:szCs w:val="20"/>
          <w:color w:val="auto"/>
        </w:rPr>
      </w:pPr>
    </w:p>
    <w:p>
      <w:pPr>
        <w:ind w:left="704"/>
        <w:spacing w:after="0" w:line="207" w:lineRule="exact"/>
        <w:tabs>
          <w:tab w:leader="none" w:pos="6464" w:val="left"/>
          <w:tab w:leader="none" w:pos="7164" w:val="left"/>
        </w:tabs>
        <w:rPr>
          <w:sz w:val="20"/>
          <w:szCs w:val="20"/>
          <w:color w:val="auto"/>
        </w:rPr>
      </w:pPr>
      <w:r>
        <w:rPr>
          <w:rFonts w:ascii="Arial" w:cs="Arial" w:eastAsia="Arial" w:hAnsi="Arial"/>
          <w:sz w:val="18"/>
          <w:szCs w:val="18"/>
          <w:color w:val="auto"/>
        </w:rPr>
        <w:t>the earnings statements to be included in the subject report or portion thereof?</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08" w:lineRule="exact"/>
        <w:rPr>
          <w:sz w:val="20"/>
          <w:szCs w:val="20"/>
          <w:color w:val="auto"/>
        </w:rPr>
      </w:pPr>
    </w:p>
    <w:p>
      <w:pPr>
        <w:ind w:left="704" w:right="80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224" w:right="800" w:hanging="224"/>
        <w:spacing w:after="0" w:line="277" w:lineRule="auto"/>
        <w:tabs>
          <w:tab w:leader="none" w:pos="2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does not expect any changes to the financial results it previously reported in its press release furnished as Exhibit 99.1 to the Company’s Current Report on Form 8-K filed March 1, 2022.</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left="4" w:right="280"/>
        <w:spacing w:after="0" w:line="255" w:lineRule="auto"/>
        <w:rPr>
          <w:sz w:val="20"/>
          <w:szCs w:val="20"/>
          <w:color w:val="auto"/>
        </w:rPr>
      </w:pPr>
      <w:r>
        <w:rPr>
          <w:rFonts w:ascii="Arial" w:cs="Arial" w:eastAsia="Arial" w:hAnsi="Arial"/>
          <w:sz w:val="18"/>
          <w:szCs w:val="18"/>
          <w:color w:val="auto"/>
        </w:rPr>
        <w:t>Certain matters discussed in this Form 12b-25 constitute forward-looking statements within the meaning of the federal securities laws. All statements contained in this notification that do not relate to matters of historical fact should be considered forward-looking statements, including, without limitation, statements regarding the Company’s internal control over financial reporting, the Company’s expectations regarding its financial results reported in its press release furnished as Exhibit 99.1 to the Company’s Current Report on Form 8-K filed March 1, 2022 and the Company’s expectation that it will file the Form 10-K within the time period prescribed by Rule 12b-25. These forward-looking statements are based on management’s current expectations.</w:t>
      </w:r>
    </w:p>
    <w:p>
      <w:pPr>
        <w:spacing w:after="0" w:line="192" w:lineRule="exact"/>
        <w:rPr>
          <w:sz w:val="20"/>
          <w:szCs w:val="20"/>
          <w:color w:val="auto"/>
        </w:rPr>
      </w:pPr>
    </w:p>
    <w:p>
      <w:pPr>
        <w:ind w:left="4" w:right="60"/>
        <w:spacing w:after="0" w:line="296" w:lineRule="auto"/>
        <w:rPr>
          <w:sz w:val="20"/>
          <w:szCs w:val="20"/>
          <w:color w:val="auto"/>
        </w:rPr>
      </w:pPr>
      <w:r>
        <w:rPr>
          <w:rFonts w:ascii="Arial" w:cs="Arial" w:eastAsia="Arial" w:hAnsi="Arial"/>
          <w:sz w:val="16"/>
          <w:szCs w:val="16"/>
          <w:color w:val="auto"/>
        </w:rPr>
        <w:t>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 that the Company is not able to complete its Form 10-K in the time period that it currently expects, and the risk that the Company finds errors in its consolidated financial statements. We undertake no obligation to update publicly any forward-looking statements, whether as a result of future events, new information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ContextLogic, Inc.</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(Name of Registrant as Specified in Charter)</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52" w:lineRule="exact"/>
        <w:rPr>
          <w:sz w:val="20"/>
          <w:szCs w:val="20"/>
          <w:color w:val="auto"/>
        </w:rPr>
      </w:pPr>
    </w:p>
    <w:p>
      <w:pPr>
        <w:ind w:left="4"/>
        <w:spacing w:after="0"/>
        <w:tabs>
          <w:tab w:leader="none" w:pos="524" w:val="left"/>
          <w:tab w:leader="none" w:pos="5804" w:val="left"/>
          <w:tab w:leader="none" w:pos="6384" w:val="left"/>
        </w:tabs>
        <w:rPr>
          <w:sz w:val="20"/>
          <w:szCs w:val="20"/>
          <w:color w:val="auto"/>
        </w:rPr>
      </w:pPr>
      <w:r>
        <w:rPr>
          <w:rFonts w:ascii="Arial" w:cs="Arial" w:eastAsia="Arial" w:hAnsi="Arial"/>
          <w:sz w:val="18"/>
          <w:szCs w:val="18"/>
          <w:color w:val="auto"/>
        </w:rPr>
        <w:t>Date:</w:t>
        <w:tab/>
        <w:t>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14605</wp:posOffset>
            </wp:positionV>
            <wp:extent cx="2931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0" w:lineRule="exact"/>
        <w:rPr>
          <w:sz w:val="20"/>
          <w:szCs w:val="20"/>
          <w:color w:val="auto"/>
        </w:rPr>
      </w:pPr>
    </w:p>
    <w:p>
      <w:pPr>
        <w:ind w:left="6404"/>
        <w:spacing w:after="0"/>
        <w:rPr>
          <w:sz w:val="20"/>
          <w:szCs w:val="20"/>
          <w:color w:val="auto"/>
        </w:rPr>
      </w:pPr>
      <w:r>
        <w:rPr>
          <w:rFonts w:ascii="Arial" w:cs="Arial" w:eastAsia="Arial" w:hAnsi="Arial"/>
          <w:sz w:val="18"/>
          <w:szCs w:val="18"/>
          <w:color w:val="auto"/>
        </w:rPr>
        <w:t>Vivian Liu</w:t>
      </w:r>
    </w:p>
    <w:p>
      <w:pPr>
        <w:spacing w:after="0" w:line="9" w:lineRule="exact"/>
        <w:rPr>
          <w:sz w:val="20"/>
          <w:szCs w:val="20"/>
          <w:color w:val="auto"/>
        </w:rPr>
      </w:pPr>
    </w:p>
    <w:p>
      <w:pPr>
        <w:ind w:left="6404"/>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4" w:right="100"/>
        <w:spacing w:after="0" w:line="311"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4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92658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274320"/>
                    </a:xfrm>
                    <a:prstGeom prst="rect">
                      <a:avLst/>
                    </a:prstGeom>
                    <a:noFill/>
                  </pic:spPr>
                </pic:pic>
              </a:graphicData>
            </a:graphic>
          </wp:anchor>
        </w:drawing>
      </w:r>
    </w:p>
    <w:p>
      <w:pPr>
        <w:spacing w:after="0" w:line="192" w:lineRule="exact"/>
        <w:rPr>
          <w:sz w:val="20"/>
          <w:szCs w:val="20"/>
          <w:color w:val="auto"/>
        </w:rPr>
      </w:pPr>
    </w:p>
    <w:p>
      <w:pPr>
        <w:jc w:val="center"/>
        <w:ind w:right="116"/>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266065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2)"/>
      <w:numFmt w:val="lowerLetter"/>
      <w:start w:val="1"/>
    </w:lvl>
  </w:abstractNum>
  <w:abstractNum w:abstractNumId="2">
    <w:nsid w:val="46E87CCD"/>
    <w:multiLevelType w:val="hybridMultilevel"/>
    <w:lvl w:ilvl="0">
      <w:lvlJc w:val="left"/>
      <w:lvlText w:val="☒"/>
      <w:numFmt w:val="bullet"/>
      <w:start w:val="1"/>
    </w:lvl>
    <w:lvl w:ilvl="1">
      <w:lvlJc w:val="left"/>
      <w:lvlText w:val="(%2)"/>
      <w:numFmt w:val="lowerLetter"/>
      <w:start w:val="3"/>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2022-03-01T16:14:13Z</dcterms:created>
  <dcterms:modified xsi:type="dcterms:W3CDTF">2022-03-01T16:14:13Z</dcterms:modified>
</cp:coreProperties>
</file>