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60350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3504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194945</wp:posOffset>
            </wp:positionV>
            <wp:extent cx="60350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87"/>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87"/>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87"/>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2468880</wp:posOffset>
            </wp:positionH>
            <wp:positionV relativeFrom="paragraph">
              <wp:posOffset>55880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62" w:lineRule="exact"/>
        <w:rPr>
          <w:sz w:val="24"/>
          <w:szCs w:val="24"/>
          <w:color w:val="auto"/>
        </w:rPr>
      </w:pPr>
    </w:p>
    <w:p>
      <w:pPr>
        <w:jc w:val="center"/>
        <w:ind w:right="-87"/>
        <w:spacing w:after="0"/>
        <w:rPr>
          <w:sz w:val="20"/>
          <w:szCs w:val="20"/>
          <w:color w:val="auto"/>
        </w:rPr>
      </w:pPr>
      <w:r>
        <w:rPr>
          <w:rFonts w:ascii="Arial" w:cs="Arial" w:eastAsia="Arial" w:hAnsi="Arial"/>
          <w:sz w:val="32"/>
          <w:szCs w:val="32"/>
          <w:b w:val="1"/>
          <w:bCs w:val="1"/>
          <w:color w:val="auto"/>
        </w:rPr>
        <w:t>SCHEDULE 14A</w:t>
      </w:r>
    </w:p>
    <w:p>
      <w:pPr>
        <w:sectPr>
          <w:pgSz w:w="11900" w:h="16838" w:orient="portrait"/>
          <w:cols w:equalWidth="0" w:num="1">
            <w:col w:w="9428"/>
          </w:cols>
          <w:pgMar w:left="1192" w:top="225" w:right="1279" w:bottom="943" w:gutter="0" w:footer="0" w:header="0"/>
        </w:sectPr>
      </w:pPr>
    </w:p>
    <w:p>
      <w:pPr>
        <w:spacing w:after="0" w:line="127" w:lineRule="exact"/>
        <w:rPr>
          <w:sz w:val="24"/>
          <w:szCs w:val="24"/>
          <w:color w:val="auto"/>
        </w:rPr>
      </w:pPr>
    </w:p>
    <w:p>
      <w:pPr>
        <w:ind w:left="2528" w:firstLine="336"/>
        <w:spacing w:after="0" w:line="347" w:lineRule="auto"/>
        <w:rPr>
          <w:sz w:val="20"/>
          <w:szCs w:val="20"/>
          <w:color w:val="auto"/>
        </w:rPr>
      </w:pPr>
      <w:r>
        <w:rPr>
          <w:rFonts w:ascii="Arial" w:cs="Arial" w:eastAsia="Arial" w:hAnsi="Arial"/>
          <w:sz w:val="16"/>
          <w:szCs w:val="16"/>
          <w:b w:val="1"/>
          <w:bCs w:val="1"/>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2468880</wp:posOffset>
            </wp:positionH>
            <wp:positionV relativeFrom="paragraph">
              <wp:posOffset>33655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64" w:lineRule="exact"/>
        <w:rPr>
          <w:sz w:val="24"/>
          <w:szCs w:val="24"/>
          <w:color w:val="auto"/>
        </w:rPr>
      </w:pPr>
    </w:p>
    <w:p>
      <w:pPr>
        <w:sectPr>
          <w:pgSz w:w="11900" w:h="16838" w:orient="portrait"/>
          <w:cols w:equalWidth="0" w:num="2">
            <w:col w:w="6608" w:space="320"/>
            <w:col w:w="2500"/>
          </w:cols>
          <w:pgMar w:left="1192" w:top="225" w:right="1279" w:bottom="943" w:gutter="0" w:footer="0" w:header="0"/>
          <w:type w:val="continuous"/>
        </w:sectPr>
      </w:pPr>
    </w:p>
    <w:p>
      <w:pPr>
        <w:ind w:left="8"/>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8"/>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0" w:lineRule="exact"/>
        <w:rPr>
          <w:sz w:val="24"/>
          <w:szCs w:val="24"/>
          <w:color w:val="auto"/>
        </w:rPr>
      </w:pPr>
    </w:p>
    <w:p>
      <w:pPr>
        <w:ind w:left="8"/>
        <w:spacing w:after="0"/>
        <w:rPr>
          <w:sz w:val="20"/>
          <w:szCs w:val="20"/>
          <w:color w:val="auto"/>
        </w:rPr>
      </w:pPr>
      <w:r>
        <w:rPr>
          <w:rFonts w:ascii="Arial" w:cs="Arial" w:eastAsia="Arial" w:hAnsi="Arial"/>
          <w:sz w:val="18"/>
          <w:szCs w:val="18"/>
          <w:color w:val="auto"/>
        </w:rPr>
        <w:t>Check the appropriate box:</w:t>
      </w:r>
    </w:p>
    <w:p>
      <w:pPr>
        <w:spacing w:after="0" w:line="185" w:lineRule="exact"/>
        <w:rPr>
          <w:sz w:val="24"/>
          <w:szCs w:val="24"/>
          <w:color w:val="auto"/>
        </w:rPr>
      </w:pPr>
    </w:p>
    <w:p>
      <w:pPr>
        <w:ind w:left="448" w:hanging="448"/>
        <w:spacing w:after="0"/>
        <w:tabs>
          <w:tab w:leader="none" w:pos="4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6" w:lineRule="exact"/>
        <w:rPr>
          <w:rFonts w:ascii="MS PGothic" w:cs="MS PGothic" w:eastAsia="MS PGothic" w:hAnsi="MS PGothic"/>
          <w:sz w:val="18"/>
          <w:szCs w:val="18"/>
          <w:color w:val="auto"/>
        </w:rPr>
      </w:pPr>
    </w:p>
    <w:p>
      <w:pPr>
        <w:ind w:left="448" w:hanging="448"/>
        <w:spacing w:after="0"/>
        <w:tabs>
          <w:tab w:leader="none" w:pos="44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1" w:lineRule="exact"/>
        <w:rPr>
          <w:rFonts w:ascii="MS PGothic" w:cs="MS PGothic" w:eastAsia="MS PGothic" w:hAnsi="MS PGothic"/>
          <w:sz w:val="18"/>
          <w:szCs w:val="18"/>
          <w:color w:val="auto"/>
        </w:rPr>
      </w:pPr>
    </w:p>
    <w:p>
      <w:pPr>
        <w:ind w:left="8"/>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48" w:hanging="448"/>
        <w:spacing w:after="0"/>
        <w:tabs>
          <w:tab w:leader="none" w:pos="4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48" w:hanging="448"/>
        <w:spacing w:after="0"/>
        <w:tabs>
          <w:tab w:leader="none" w:pos="4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9" w:lineRule="exact"/>
        <w:rPr>
          <w:sz w:val="24"/>
          <w:szCs w:val="24"/>
          <w:color w:val="auto"/>
        </w:rPr>
      </w:pPr>
    </w:p>
    <w:p>
      <w:pPr>
        <w:jc w:val="center"/>
        <w:ind w:right="-67"/>
        <w:spacing w:after="0"/>
        <w:rPr>
          <w:sz w:val="20"/>
          <w:szCs w:val="20"/>
          <w:color w:val="auto"/>
        </w:rPr>
      </w:pPr>
      <w:r>
        <w:rPr>
          <w:rFonts w:ascii="Arial" w:cs="Arial" w:eastAsia="Arial" w:hAnsi="Arial"/>
          <w:sz w:val="43"/>
          <w:szCs w:val="43"/>
          <w:b w:val="1"/>
          <w:bCs w:val="1"/>
          <w:color w:val="auto"/>
        </w:rPr>
        <w:t>CONTEXTLOGIC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6035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59" w:lineRule="exact"/>
        <w:rPr>
          <w:sz w:val="24"/>
          <w:szCs w:val="24"/>
          <w:color w:val="auto"/>
        </w:rPr>
      </w:pPr>
    </w:p>
    <w:p>
      <w:pPr>
        <w:jc w:val="center"/>
        <w:ind w:right="-67"/>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60350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988"/>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75" w:lineRule="exact"/>
        <w:rPr>
          <w:sz w:val="24"/>
          <w:szCs w:val="24"/>
          <w:color w:val="auto"/>
        </w:rPr>
      </w:pPr>
    </w:p>
    <w:p>
      <w:pPr>
        <w:ind w:left="8"/>
        <w:spacing w:after="0"/>
        <w:rPr>
          <w:sz w:val="20"/>
          <w:szCs w:val="20"/>
          <w:color w:val="auto"/>
        </w:rPr>
      </w:pPr>
      <w:r>
        <w:rPr>
          <w:rFonts w:ascii="Arial" w:cs="Arial" w:eastAsia="Arial" w:hAnsi="Arial"/>
          <w:sz w:val="18"/>
          <w:szCs w:val="18"/>
          <w:color w:val="auto"/>
        </w:rPr>
        <w:t>Payment of Filing Fee (Check the appropriate box):</w:t>
      </w:r>
    </w:p>
    <w:p>
      <w:pPr>
        <w:spacing w:after="0" w:line="198" w:lineRule="exact"/>
        <w:rPr>
          <w:sz w:val="24"/>
          <w:szCs w:val="24"/>
          <w:color w:val="auto"/>
        </w:rPr>
      </w:pPr>
    </w:p>
    <w:p>
      <w:pPr>
        <w:ind w:left="428" w:hanging="401"/>
        <w:spacing w:after="0"/>
        <w:tabs>
          <w:tab w:leader="none" w:pos="42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28" w:hanging="401"/>
        <w:spacing w:after="0"/>
        <w:tabs>
          <w:tab w:leader="none" w:pos="428"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868" w:hanging="436"/>
        <w:spacing w:after="0"/>
        <w:tabs>
          <w:tab w:leader="none" w:pos="868"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68" w:hanging="436"/>
        <w:spacing w:after="0"/>
        <w:tabs>
          <w:tab w:leader="none" w:pos="868"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68" w:right="320" w:hanging="436"/>
        <w:spacing w:after="0" w:line="277" w:lineRule="auto"/>
        <w:tabs>
          <w:tab w:leader="none" w:pos="868"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99" w:lineRule="exact"/>
        <w:rPr>
          <w:rFonts w:ascii="Arial" w:cs="Arial" w:eastAsia="Arial" w:hAnsi="Arial"/>
          <w:sz w:val="18"/>
          <w:szCs w:val="18"/>
          <w:color w:val="auto"/>
        </w:rPr>
      </w:pPr>
    </w:p>
    <w:p>
      <w:pPr>
        <w:ind w:left="868" w:hanging="436"/>
        <w:spacing w:after="0"/>
        <w:tabs>
          <w:tab w:leader="none" w:pos="868"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68" w:hanging="436"/>
        <w:spacing w:after="0"/>
        <w:tabs>
          <w:tab w:leader="none" w:pos="868"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28" w:hanging="401"/>
        <w:spacing w:after="0"/>
        <w:tabs>
          <w:tab w:leader="none" w:pos="428"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28" w:hanging="401"/>
        <w:spacing w:after="0" w:line="263" w:lineRule="auto"/>
        <w:tabs>
          <w:tab w:leader="none" w:pos="428"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8" w:lineRule="exact"/>
        <w:rPr>
          <w:rFonts w:ascii="MS PGothic" w:cs="MS PGothic" w:eastAsia="MS PGothic" w:hAnsi="MS PGothic"/>
          <w:sz w:val="18"/>
          <w:szCs w:val="18"/>
          <w:color w:val="auto"/>
        </w:rPr>
      </w:pPr>
    </w:p>
    <w:p>
      <w:pPr>
        <w:ind w:left="868" w:hanging="436"/>
        <w:spacing w:after="0"/>
        <w:tabs>
          <w:tab w:leader="none" w:pos="868"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68" w:hanging="436"/>
        <w:spacing w:after="0"/>
        <w:tabs>
          <w:tab w:leader="none" w:pos="868"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68" w:hanging="436"/>
        <w:spacing w:after="0"/>
        <w:tabs>
          <w:tab w:leader="none" w:pos="868"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68" w:hanging="436"/>
        <w:spacing w:after="0"/>
        <w:tabs>
          <w:tab w:leader="none" w:pos="868"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-479425</wp:posOffset>
            </wp:positionH>
            <wp:positionV relativeFrom="paragraph">
              <wp:posOffset>537845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237490</wp:posOffset>
            </wp:positionV>
            <wp:extent cx="54864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86400" cy="8255"/>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-173355</wp:posOffset>
            </wp:positionV>
            <wp:extent cx="54864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86400" cy="8890"/>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-593090</wp:posOffset>
            </wp:positionV>
            <wp:extent cx="54864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86400" cy="8890"/>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-1013460</wp:posOffset>
            </wp:positionV>
            <wp:extent cx="54864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86400" cy="8890"/>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-2076450</wp:posOffset>
            </wp:positionV>
            <wp:extent cx="5486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86400" cy="8890"/>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-2496185</wp:posOffset>
            </wp:positionV>
            <wp:extent cx="54864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86400" cy="8255"/>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-2916555</wp:posOffset>
            </wp:positionV>
            <wp:extent cx="54864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86400" cy="8890"/>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-3473450</wp:posOffset>
            </wp:positionV>
            <wp:extent cx="54864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86400" cy="8890"/>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-3893820</wp:posOffset>
            </wp:positionV>
            <wp:extent cx="54864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864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314960</wp:posOffset>
            </wp:positionV>
            <wp:extent cx="60350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400685</wp:posOffset>
            </wp:positionV>
            <wp:extent cx="603504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5040" cy="17145"/>
                    </a:xfrm>
                    <a:prstGeom prst="rect">
                      <a:avLst/>
                    </a:prstGeom>
                    <a:noFill/>
                  </pic:spPr>
                </pic:pic>
              </a:graphicData>
            </a:graphic>
          </wp:anchor>
        </w:drawing>
      </w:r>
    </w:p>
    <w:p>
      <w:pPr>
        <w:sectPr>
          <w:pgSz w:w="11900" w:h="16838" w:orient="portrait"/>
          <w:cols w:equalWidth="0" w:num="1">
            <w:col w:w="9428"/>
          </w:cols>
          <w:pgMar w:left="1192" w:top="225" w:right="1279" w:bottom="943"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2214880</wp:posOffset>
            </wp:positionH>
            <wp:positionV relativeFrom="paragraph">
              <wp:posOffset>92075</wp:posOffset>
            </wp:positionV>
            <wp:extent cx="1637030" cy="548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3703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April 28, 2021</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Dear Stockholders of ContextLogic Inc.:</w:t>
      </w:r>
    </w:p>
    <w:p>
      <w:pPr>
        <w:spacing w:after="0" w:line="16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It is my pleasure to invite you to attend the 2021 Annual Meeting of Stockholders (“Annual Meeting” or “2021 Annual Meeting”) of ContextLogic Inc. d/b/a “Wish,” to be held on Tuesday, June 8, 2021 at 10 a.m. Pacific Daylight Time. </w:t>
      </w:r>
      <w:r>
        <w:rPr>
          <w:rFonts w:ascii="Arial" w:cs="Arial" w:eastAsia="Arial" w:hAnsi="Arial"/>
          <w:sz w:val="16"/>
          <w:szCs w:val="16"/>
          <w:b w:val="1"/>
          <w:bCs w:val="1"/>
          <w:color w:val="auto"/>
        </w:rPr>
        <w:t>In order to provide a safe and</w:t>
      </w:r>
      <w:r>
        <w:rPr>
          <w:rFonts w:ascii="Arial" w:cs="Arial" w:eastAsia="Arial" w:hAnsi="Arial"/>
          <w:sz w:val="16"/>
          <w:szCs w:val="16"/>
          <w:color w:val="auto"/>
        </w:rPr>
        <w:t xml:space="preserve"> </w:t>
      </w:r>
      <w:r>
        <w:rPr>
          <w:rFonts w:ascii="Arial" w:cs="Arial" w:eastAsia="Arial" w:hAnsi="Arial"/>
          <w:sz w:val="16"/>
          <w:szCs w:val="16"/>
          <w:b w:val="1"/>
          <w:bCs w:val="1"/>
          <w:color w:val="auto"/>
        </w:rPr>
        <w:t>accessible experience to all stockholders, our Annual Meeting will be completely virtual. You may attend the virtual meeting, submit questions, and vote your shares electronically during the meeting via live webcast by visiting http://www.virtualshareholdermeeting.com/WISH2021.</w:t>
      </w:r>
    </w:p>
    <w:p>
      <w:pPr>
        <w:spacing w:after="0" w:line="14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Details regarding the business to be conducted at our Annual Meeting are more fully described in the accompanying Notice of Annual Meeting of Stockholders and Proxy Statement.</w:t>
      </w:r>
    </w:p>
    <w:p>
      <w:pPr>
        <w:spacing w:after="0" w:line="141"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We are pleased to take advantage of the Securities and Exchange Commission rules that allow us to furnish proxy materials to stockholders over the Internet. We believe that providing our proxy materials over the Internet increases the accessibility of our information to stockholders while reducing the environmental impact of our Annual Meeting. On or around April 28, 2021, we expect to mail to our stockholders a Notice of Internet Availability of Proxy Materials (the “Notice”) containing instructions on how to access the proxy statement for our 2021 Annual Meeting of Stockholders (the “Proxy Statement”) and our 2020 Annual Report. The Notice will also provide instructions on how to vote online or by telephone, and how to receive printed proxy materials by mail.</w:t>
      </w:r>
    </w:p>
    <w:p>
      <w:pPr>
        <w:spacing w:after="0" w:line="151"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Whether or not you plan to virtually attend our Annual Meeting, your vote is important and we encourage you to vote promptly. You may vote by proxy over the Internet or by telephone, or, if you have received printed proxy materials by mail, you can also vote by mail by following the instructions on your proxy card. If you virtually attend our Annual Meeting, you will have the right to revoke your proxy and vote electronically during the meeting via the live webcast. If you hold your shares through an account with a brokerage firm, bank, or other nominee, please follow the instructions you receive from your brokerage firm, bank, or other nominee to vote your shares.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On behalf of the Board of Directors, thank you for your continued interest and support in Wish.</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Piotr Szulczewski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Founder, Chief Executive Officer, and Chairperson</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One Sansome Street, 40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p>
      <w:pPr>
        <w:spacing w:after="0"/>
        <w:rPr>
          <w:sz w:val="20"/>
          <w:szCs w:val="20"/>
          <w:color w:val="auto"/>
        </w:rPr>
      </w:pPr>
      <w:r>
        <w:rPr>
          <w:rFonts w:ascii="Arial" w:cs="Arial" w:eastAsia="Arial" w:hAnsi="Arial"/>
          <w:sz w:val="16"/>
          <w:szCs w:val="16"/>
          <w:color w:val="auto"/>
        </w:rPr>
        <w:t>San Francisco, California 94104</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www.wish.com</w:t>
      </w:r>
    </w:p>
    <w:p>
      <w:pPr>
        <w:spacing w:after="0" w:line="206"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120650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0"/>
          </w:cols>
          <w:pgMar w:left="1160" w:top="265" w:right="1179" w:bottom="1440" w:gutter="0" w:footer="0" w:header="0"/>
        </w:sectPr>
      </w:pPr>
    </w:p>
    <w:bookmarkStart w:id="2" w:name="page3"/>
    <w:bookmarkEnd w:id="2"/>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5" w:lineRule="exact"/>
        <w:rPr>
          <w:sz w:val="20"/>
          <w:szCs w:val="20"/>
          <w:color w:val="auto"/>
        </w:rPr>
      </w:pPr>
    </w:p>
    <w:p>
      <w:pPr>
        <w:ind w:left="6724"/>
        <w:spacing w:after="0"/>
        <w:rPr>
          <w:sz w:val="20"/>
          <w:szCs w:val="20"/>
          <w:color w:val="auto"/>
        </w:rPr>
      </w:pPr>
      <w:r>
        <w:rPr>
          <w:rFonts w:ascii="Arial" w:cs="Arial" w:eastAsia="Arial" w:hAnsi="Arial"/>
          <w:sz w:val="18"/>
          <w:szCs w:val="18"/>
          <w:color w:val="auto"/>
        </w:rPr>
        <w:t>ContextLogic Inc.</w:t>
      </w:r>
    </w:p>
    <w:p>
      <w:pPr>
        <w:ind w:left="6724"/>
        <w:spacing w:after="0" w:line="180" w:lineRule="auto"/>
        <w:rPr>
          <w:sz w:val="20"/>
          <w:szCs w:val="20"/>
          <w:color w:val="auto"/>
        </w:rPr>
      </w:pPr>
      <w:r>
        <w:rPr>
          <w:rFonts w:ascii="Arial" w:cs="Arial" w:eastAsia="Arial" w:hAnsi="Arial"/>
          <w:sz w:val="16"/>
          <w:szCs w:val="16"/>
          <w:color w:val="auto"/>
        </w:rPr>
        <w:t>One Sansome Street, 40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Floor</w:t>
      </w:r>
    </w:p>
    <w:p>
      <w:pPr>
        <w:ind w:left="6724"/>
        <w:spacing w:after="0"/>
        <w:rPr>
          <w:sz w:val="20"/>
          <w:szCs w:val="20"/>
          <w:color w:val="auto"/>
        </w:rPr>
      </w:pPr>
      <w:r>
        <w:rPr>
          <w:rFonts w:ascii="Arial" w:cs="Arial" w:eastAsia="Arial" w:hAnsi="Arial"/>
          <w:sz w:val="18"/>
          <w:szCs w:val="18"/>
          <w:color w:val="auto"/>
        </w:rPr>
        <w:t>San Francisco, California 94104</w:t>
      </w:r>
    </w:p>
    <w:p>
      <w:pPr>
        <w:spacing w:after="0" w:line="200" w:lineRule="exact"/>
        <w:rPr>
          <w:sz w:val="20"/>
          <w:szCs w:val="20"/>
          <w:color w:val="auto"/>
        </w:rPr>
      </w:pPr>
    </w:p>
    <w:p>
      <w:pPr>
        <w:spacing w:after="0" w:line="256" w:lineRule="exact"/>
        <w:rPr>
          <w:sz w:val="20"/>
          <w:szCs w:val="20"/>
          <w:color w:val="auto"/>
        </w:rPr>
      </w:pPr>
    </w:p>
    <w:p>
      <w:pPr>
        <w:ind w:left="4" w:right="2340"/>
        <w:spacing w:after="0" w:line="278" w:lineRule="auto"/>
        <w:rPr>
          <w:sz w:val="20"/>
          <w:szCs w:val="20"/>
          <w:color w:val="auto"/>
        </w:rPr>
      </w:pPr>
      <w:r>
        <w:rPr>
          <w:rFonts w:ascii="Arial" w:cs="Arial" w:eastAsia="Arial" w:hAnsi="Arial"/>
          <w:sz w:val="29"/>
          <w:szCs w:val="29"/>
          <w:b w:val="1"/>
          <w:bCs w:val="1"/>
          <w:color w:val="42B6E9"/>
        </w:rPr>
        <w:t>NOTICE OF ANNUAL MEETING OF STOCKHOLDERS To Be Held On June 8, 2021</w:t>
      </w:r>
    </w:p>
    <w:p>
      <w:pPr>
        <w:spacing w:after="0" w:line="52" w:lineRule="exact"/>
        <w:rPr>
          <w:sz w:val="20"/>
          <w:szCs w:val="20"/>
          <w:color w:val="auto"/>
        </w:rPr>
      </w:pPr>
    </w:p>
    <w:p>
      <w:pPr>
        <w:ind w:left="4"/>
        <w:spacing w:after="0"/>
        <w:rPr>
          <w:sz w:val="20"/>
          <w:szCs w:val="20"/>
          <w:color w:val="auto"/>
        </w:rPr>
      </w:pPr>
      <w:r>
        <w:rPr>
          <w:rFonts w:ascii="Arial" w:cs="Arial" w:eastAsia="Arial" w:hAnsi="Arial"/>
          <w:sz w:val="16"/>
          <w:szCs w:val="16"/>
          <w:color w:val="auto"/>
        </w:rPr>
        <w:t>Dear Stockholders of ContextLogic Inc.:</w:t>
      </w:r>
    </w:p>
    <w:p>
      <w:pPr>
        <w:spacing w:after="0" w:line="167" w:lineRule="exact"/>
        <w:rPr>
          <w:sz w:val="20"/>
          <w:szCs w:val="20"/>
          <w:color w:val="auto"/>
        </w:rPr>
      </w:pPr>
    </w:p>
    <w:p>
      <w:pPr>
        <w:ind w:left="4" w:right="140"/>
        <w:spacing w:after="0" w:line="246" w:lineRule="auto"/>
        <w:rPr>
          <w:sz w:val="20"/>
          <w:szCs w:val="20"/>
          <w:color w:val="auto"/>
        </w:rPr>
      </w:pPr>
      <w:r>
        <w:rPr>
          <w:rFonts w:ascii="Arial" w:cs="Arial" w:eastAsia="Arial" w:hAnsi="Arial"/>
          <w:sz w:val="16"/>
          <w:szCs w:val="16"/>
          <w:color w:val="auto"/>
        </w:rPr>
        <w:t xml:space="preserve">You are cordially invited to attend the Annual Meeting (“Annual Meeting” or “2021 Annual Meeting”) of Stockholders of ContextLogic Inc. d/b/a “Wish,” a Delaware corporation. The meeting will be held on Tuesday, June 8, 2021, at 10 a.m. Pacific Daylight Time. </w:t>
      </w:r>
      <w:r>
        <w:rPr>
          <w:rFonts w:ascii="Arial" w:cs="Arial" w:eastAsia="Arial" w:hAnsi="Arial"/>
          <w:sz w:val="16"/>
          <w:szCs w:val="16"/>
          <w:b w:val="1"/>
          <w:bCs w:val="1"/>
          <w:color w:val="auto"/>
        </w:rPr>
        <w:t>Our</w:t>
      </w:r>
    </w:p>
    <w:p>
      <w:pPr>
        <w:spacing w:after="0" w:line="1" w:lineRule="exact"/>
        <w:rPr>
          <w:sz w:val="20"/>
          <w:szCs w:val="20"/>
          <w:color w:val="auto"/>
        </w:rPr>
      </w:pPr>
    </w:p>
    <w:p>
      <w:pPr>
        <w:ind w:left="4" w:right="240"/>
        <w:spacing w:after="0" w:line="253" w:lineRule="auto"/>
        <w:rPr>
          <w:sz w:val="20"/>
          <w:szCs w:val="20"/>
          <w:color w:val="auto"/>
        </w:rPr>
      </w:pPr>
      <w:r>
        <w:rPr>
          <w:rFonts w:ascii="Arial" w:cs="Arial" w:eastAsia="Arial" w:hAnsi="Arial"/>
          <w:sz w:val="16"/>
          <w:szCs w:val="16"/>
          <w:b w:val="1"/>
          <w:bCs w:val="1"/>
          <w:color w:val="auto"/>
        </w:rPr>
        <w:t xml:space="preserve">Annual Meeting will be completely virtual. You may attend the meeting, submit questions, and vote your shares electronically during the meeting via live webcast by visiting http://www.virtualshareholdermeeting.com/WISH2021. </w:t>
      </w:r>
      <w:r>
        <w:rPr>
          <w:rFonts w:ascii="Arial" w:cs="Arial" w:eastAsia="Arial" w:hAnsi="Arial"/>
          <w:sz w:val="16"/>
          <w:szCs w:val="16"/>
          <w:color w:val="auto"/>
        </w:rPr>
        <w:t>At the</w:t>
      </w:r>
      <w:r>
        <w:rPr>
          <w:rFonts w:ascii="Arial" w:cs="Arial" w:eastAsia="Arial" w:hAnsi="Arial"/>
          <w:sz w:val="16"/>
          <w:szCs w:val="16"/>
          <w:b w:val="1"/>
          <w:bCs w:val="1"/>
          <w:color w:val="auto"/>
        </w:rPr>
        <w:t xml:space="preserve"> </w:t>
      </w:r>
      <w:r>
        <w:rPr>
          <w:rFonts w:ascii="Arial" w:cs="Arial" w:eastAsia="Arial" w:hAnsi="Arial"/>
          <w:sz w:val="16"/>
          <w:szCs w:val="16"/>
          <w:color w:val="auto"/>
        </w:rPr>
        <w:t>Annual Meeting, our stockholders will be asked:</w:t>
      </w:r>
    </w:p>
    <w:p>
      <w:pPr>
        <w:spacing w:after="0" w:line="147" w:lineRule="exact"/>
        <w:rPr>
          <w:sz w:val="20"/>
          <w:szCs w:val="20"/>
          <w:color w:val="auto"/>
        </w:rPr>
      </w:pPr>
    </w:p>
    <w:p>
      <w:pPr>
        <w:ind w:left="344" w:right="80" w:hanging="344"/>
        <w:spacing w:after="0" w:line="260" w:lineRule="auto"/>
        <w:tabs>
          <w:tab w:leader="none" w:pos="344"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all of our existing directors to serve until the 2022 Annual Meeting of Stockholders, who include Piotr Szulczewski, Julie Bradley, Ari Emanuel, Joe Lonsdale, Jacqueline Reses, Tanzeen Syed, Stephanie Tilenius, and Hans Tung;</w:t>
      </w:r>
    </w:p>
    <w:p>
      <w:pPr>
        <w:spacing w:after="0" w:line="141" w:lineRule="exact"/>
        <w:rPr>
          <w:rFonts w:ascii="Arial" w:cs="Arial" w:eastAsia="Arial" w:hAnsi="Arial"/>
          <w:sz w:val="16"/>
          <w:szCs w:val="16"/>
          <w:color w:val="auto"/>
        </w:rPr>
      </w:pPr>
    </w:p>
    <w:p>
      <w:pPr>
        <w:ind w:left="344" w:right="240" w:hanging="344"/>
        <w:spacing w:after="0" w:line="260" w:lineRule="auto"/>
        <w:tabs>
          <w:tab w:leader="none" w:pos="344"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the fiscal year ending December 31, 2021;</w:t>
      </w:r>
    </w:p>
    <w:p>
      <w:pPr>
        <w:spacing w:after="0" w:line="141" w:lineRule="exact"/>
        <w:rPr>
          <w:rFonts w:ascii="Arial" w:cs="Arial" w:eastAsia="Arial" w:hAnsi="Arial"/>
          <w:sz w:val="16"/>
          <w:szCs w:val="16"/>
          <w:color w:val="auto"/>
        </w:rPr>
      </w:pPr>
    </w:p>
    <w:p>
      <w:pPr>
        <w:ind w:left="344" w:hanging="344"/>
        <w:spacing w:after="0"/>
        <w:tabs>
          <w:tab w:leader="none" w:pos="344"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on an advisory basis, our executive compensation for the year ended December 31, 2020, as disclosed herein;</w:t>
      </w:r>
    </w:p>
    <w:p>
      <w:pPr>
        <w:spacing w:after="0" w:line="167" w:lineRule="exact"/>
        <w:rPr>
          <w:rFonts w:ascii="Arial" w:cs="Arial" w:eastAsia="Arial" w:hAnsi="Arial"/>
          <w:sz w:val="16"/>
          <w:szCs w:val="16"/>
          <w:color w:val="auto"/>
        </w:rPr>
      </w:pPr>
    </w:p>
    <w:p>
      <w:pPr>
        <w:ind w:left="344" w:right="520" w:hanging="344"/>
        <w:spacing w:after="0" w:line="260" w:lineRule="auto"/>
        <w:tabs>
          <w:tab w:leader="none" w:pos="344"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on an advisory basis, the frequency of holding an advisory vote on the compensation of our named executive officers; and</w:t>
      </w:r>
    </w:p>
    <w:p>
      <w:pPr>
        <w:spacing w:after="0" w:line="141" w:lineRule="exact"/>
        <w:rPr>
          <w:rFonts w:ascii="Arial" w:cs="Arial" w:eastAsia="Arial" w:hAnsi="Arial"/>
          <w:sz w:val="16"/>
          <w:szCs w:val="16"/>
          <w:color w:val="auto"/>
        </w:rPr>
      </w:pPr>
    </w:p>
    <w:p>
      <w:pPr>
        <w:ind w:left="344" w:hanging="344"/>
        <w:spacing w:after="0"/>
        <w:tabs>
          <w:tab w:leader="none" w:pos="344"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conduct any other business properly brought before the meeting.</w:t>
      </w:r>
    </w:p>
    <w:p>
      <w:pPr>
        <w:spacing w:after="0" w:line="235"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items of business listed above are more fully described in the Proxy Statement accompanying this Notice.</w:t>
      </w:r>
    </w:p>
    <w:p>
      <w:pPr>
        <w:spacing w:after="0" w:line="167" w:lineRule="exact"/>
        <w:rPr>
          <w:sz w:val="20"/>
          <w:szCs w:val="20"/>
          <w:color w:val="auto"/>
        </w:rPr>
      </w:pPr>
    </w:p>
    <w:p>
      <w:pPr>
        <w:ind w:left="4" w:right="140"/>
        <w:spacing w:after="0" w:line="260" w:lineRule="auto"/>
        <w:rPr>
          <w:sz w:val="20"/>
          <w:szCs w:val="20"/>
          <w:color w:val="auto"/>
        </w:rPr>
      </w:pPr>
      <w:r>
        <w:rPr>
          <w:rFonts w:ascii="Arial" w:cs="Arial" w:eastAsia="Arial" w:hAnsi="Arial"/>
          <w:sz w:val="16"/>
          <w:szCs w:val="16"/>
          <w:color w:val="auto"/>
        </w:rPr>
        <w:t>The record date for the Annual Meeting is April 12, 2021. Only stockholders of record at the close of business on that date may vote at the meeting or any adjournment thereof.</w:t>
      </w:r>
    </w:p>
    <w:p>
      <w:pPr>
        <w:spacing w:after="0" w:line="121" w:lineRule="exact"/>
        <w:rPr>
          <w:sz w:val="20"/>
          <w:szCs w:val="20"/>
          <w:color w:val="auto"/>
        </w:rPr>
      </w:pPr>
    </w:p>
    <w:p>
      <w:pPr>
        <w:ind w:left="4" w:right="120"/>
        <w:spacing w:after="0" w:line="286" w:lineRule="auto"/>
        <w:rPr>
          <w:sz w:val="20"/>
          <w:szCs w:val="20"/>
          <w:color w:val="auto"/>
        </w:rPr>
      </w:pPr>
      <w:r>
        <w:rPr>
          <w:rFonts w:ascii="Arial" w:cs="Arial" w:eastAsia="Arial" w:hAnsi="Arial"/>
          <w:sz w:val="16"/>
          <w:szCs w:val="16"/>
          <w:color w:val="auto"/>
        </w:rPr>
        <w:t xml:space="preserve">The Board of Directors is pleased to nominate </w:t>
      </w:r>
      <w:r>
        <w:rPr>
          <w:rFonts w:ascii="Arial" w:cs="Arial" w:eastAsia="Arial" w:hAnsi="Arial"/>
          <w:sz w:val="16"/>
          <w:szCs w:val="16"/>
          <w:b w:val="1"/>
          <w:bCs w:val="1"/>
          <w:color w:val="auto"/>
        </w:rPr>
        <w:t>Piotr Szulczewski, Julie Bradley, Ari Emanuel, Joe Lonsdale, Jacqueline Reses,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Tanzeen Syed, Stephanie Tilenius, and Hans Tung </w:t>
      </w:r>
      <w:r>
        <w:rPr>
          <w:rFonts w:ascii="Arial" w:cs="Arial" w:eastAsia="Arial" w:hAnsi="Arial"/>
          <w:sz w:val="16"/>
          <w:szCs w:val="16"/>
          <w:color w:val="auto"/>
        </w:rPr>
        <w:t>as members of the Board.</w:t>
      </w:r>
    </w:p>
    <w:p>
      <w:pPr>
        <w:spacing w:after="0" w:line="102" w:lineRule="exact"/>
        <w:rPr>
          <w:sz w:val="20"/>
          <w:szCs w:val="20"/>
          <w:color w:val="auto"/>
        </w:rPr>
      </w:pPr>
    </w:p>
    <w:p>
      <w:pPr>
        <w:ind w:left="4" w:right="80"/>
        <w:spacing w:after="0" w:line="256" w:lineRule="auto"/>
        <w:rPr>
          <w:sz w:val="20"/>
          <w:szCs w:val="20"/>
          <w:color w:val="auto"/>
        </w:rPr>
      </w:pPr>
      <w:r>
        <w:rPr>
          <w:rFonts w:ascii="Arial" w:cs="Arial" w:eastAsia="Arial" w:hAnsi="Arial"/>
          <w:sz w:val="16"/>
          <w:szCs w:val="16"/>
          <w:b w:val="1"/>
          <w:bCs w:val="1"/>
          <w:color w:val="auto"/>
        </w:rPr>
        <w:t xml:space="preserve">Regardless of the number of shares you own, your vote is important. </w:t>
      </w:r>
      <w:r>
        <w:rPr>
          <w:rFonts w:ascii="Arial" w:cs="Arial" w:eastAsia="Arial" w:hAnsi="Arial"/>
          <w:sz w:val="16"/>
          <w:szCs w:val="16"/>
          <w:color w:val="auto"/>
        </w:rPr>
        <w:t>Therefore, even if you currently plan to virtually attend the</w:t>
      </w:r>
      <w:r>
        <w:rPr>
          <w:rFonts w:ascii="Arial" w:cs="Arial" w:eastAsia="Arial" w:hAnsi="Arial"/>
          <w:sz w:val="16"/>
          <w:szCs w:val="16"/>
          <w:b w:val="1"/>
          <w:bCs w:val="1"/>
          <w:color w:val="auto"/>
        </w:rPr>
        <w:t xml:space="preserve"> </w:t>
      </w:r>
      <w:r>
        <w:rPr>
          <w:rFonts w:ascii="Arial" w:cs="Arial" w:eastAsia="Arial" w:hAnsi="Arial"/>
          <w:sz w:val="16"/>
          <w:szCs w:val="16"/>
          <w:color w:val="auto"/>
        </w:rPr>
        <w:t>2021 Annual Meeting, please vote or submit your proxy as soon as possible so that your shares can be voted at the 2021 Annual Meeting in accordance with your instructions. Both telephone and Internet voting are available. For specific instructions on voting, please refer to the instructions in the Notice of Internet Availability of Proxy Materials or the proxy card. If you do virtually attend the 2021 Annual Meeting and wish to vote electronically, you may withdraw your proxy at that time.</w:t>
      </w:r>
    </w:p>
    <w:p>
      <w:pPr>
        <w:spacing w:after="0" w:line="213" w:lineRule="exact"/>
        <w:rPr>
          <w:sz w:val="20"/>
          <w:szCs w:val="20"/>
          <w:color w:val="auto"/>
        </w:rPr>
      </w:pPr>
    </w:p>
    <w:p>
      <w:pPr>
        <w:ind w:left="4"/>
        <w:spacing w:after="0"/>
        <w:rPr>
          <w:sz w:val="20"/>
          <w:szCs w:val="20"/>
          <w:color w:val="auto"/>
        </w:rPr>
      </w:pPr>
      <w:r>
        <w:rPr>
          <w:rFonts w:ascii="Arial" w:cs="Arial" w:eastAsia="Arial" w:hAnsi="Arial"/>
          <w:sz w:val="16"/>
          <w:szCs w:val="16"/>
          <w:color w:val="auto"/>
        </w:rPr>
        <w:t>Please read the attached Proxy Statement, as it contains important information you need to know to vote at our 2021 Annual Meeting.</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6"/>
          <w:szCs w:val="16"/>
          <w:color w:val="auto"/>
        </w:rPr>
        <w:t>By Order of the Board of Directors</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6"/>
          <w:szCs w:val="16"/>
          <w:color w:val="auto"/>
        </w:rPr>
        <w:t>Devang Shah</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General Counsel and Secretary</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San Francisco, California</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April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42545</wp:posOffset>
            </wp:positionV>
            <wp:extent cx="6082030" cy="509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82030" cy="509905"/>
                    </a:xfrm>
                    <a:prstGeom prst="rect">
                      <a:avLst/>
                    </a:prstGeom>
                    <a:noFill/>
                  </pic:spPr>
                </pic:pic>
              </a:graphicData>
            </a:graphic>
          </wp:anchor>
        </w:drawing>
      </w:r>
    </w:p>
    <w:p>
      <w:pPr>
        <w:spacing w:after="0" w:line="154" w:lineRule="exact"/>
        <w:rPr>
          <w:sz w:val="20"/>
          <w:szCs w:val="20"/>
          <w:color w:val="auto"/>
        </w:rPr>
      </w:pPr>
    </w:p>
    <w:p>
      <w:pPr>
        <w:jc w:val="both"/>
        <w:ind w:left="124" w:right="420"/>
        <w:spacing w:after="0" w:line="266" w:lineRule="auto"/>
        <w:rPr>
          <w:sz w:val="20"/>
          <w:szCs w:val="20"/>
          <w:color w:val="auto"/>
        </w:rPr>
      </w:pPr>
      <w:r>
        <w:rPr>
          <w:rFonts w:ascii="Arial" w:cs="Arial" w:eastAsia="Arial" w:hAnsi="Arial"/>
          <w:sz w:val="16"/>
          <w:szCs w:val="16"/>
          <w:b w:val="1"/>
          <w:bCs w:val="1"/>
          <w:color w:val="auto"/>
        </w:rPr>
        <w:t>You are cordially invited to attend the virtual meeting. Whether or not you expect to attend the virtual meeting, please vote as soon as possible. We encourage you to vote via the Internet. For further details, see “Questions and Answers about This Proxy Material and Voting.”</w:t>
      </w:r>
    </w:p>
    <w:p>
      <w:pPr>
        <w:spacing w:after="0" w:line="284" w:lineRule="exact"/>
        <w:rPr>
          <w:sz w:val="20"/>
          <w:szCs w:val="20"/>
          <w:color w:val="auto"/>
        </w:rPr>
      </w:pPr>
    </w:p>
    <w:p>
      <w:pPr>
        <w:ind w:left="3864"/>
        <w:spacing w:after="0"/>
        <w:rPr>
          <w:sz w:val="20"/>
          <w:szCs w:val="20"/>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ContextLogic Inc.</w:t>
      </w:r>
    </w:p>
    <w:p>
      <w:pPr>
        <w:ind w:left="6720"/>
        <w:spacing w:after="0" w:line="180" w:lineRule="auto"/>
        <w:rPr>
          <w:sz w:val="20"/>
          <w:szCs w:val="20"/>
          <w:color w:val="auto"/>
        </w:rPr>
      </w:pPr>
      <w:r>
        <w:rPr>
          <w:rFonts w:ascii="Arial" w:cs="Arial" w:eastAsia="Arial" w:hAnsi="Arial"/>
          <w:sz w:val="16"/>
          <w:szCs w:val="16"/>
          <w:color w:val="auto"/>
        </w:rPr>
        <w:t>One Sansome Street, 40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Floor</w:t>
      </w:r>
    </w:p>
    <w:p>
      <w:pPr>
        <w:ind w:left="6720"/>
        <w:spacing w:after="0"/>
        <w:rPr>
          <w:sz w:val="20"/>
          <w:szCs w:val="20"/>
          <w:color w:val="auto"/>
        </w:rPr>
      </w:pPr>
      <w:r>
        <w:rPr>
          <w:rFonts w:ascii="Arial" w:cs="Arial" w:eastAsia="Arial" w:hAnsi="Arial"/>
          <w:sz w:val="18"/>
          <w:szCs w:val="18"/>
          <w:color w:val="auto"/>
        </w:rPr>
        <w:t>San Francisco, California 94104</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42B6E9"/>
        </w:rPr>
        <w:t>FOR THE 2021 ANNUAL MEETING OF STOCKHOLDERS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42B6E9"/>
        </w:rPr>
        <w:t>TO BE HELD ON JUNE 8, 2021</w:t>
      </w:r>
    </w:p>
    <w:p>
      <w:pPr>
        <w:spacing w:after="0" w:line="113"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This Proxy Statement and proxy card are furnished in connection with the solicitation of proxies to be voted at the 2021 Annual Meeting of Stockholders (“Annual Meeting” or “2021 Annual Meeting”) of ContextLogic Inc. d/b/a “Wish” (sometimes referred to as “we,” “us,” “our,” the “Company,” “ContextLogic,” or “Wish”), which will be held virtually on Tuesday, June 8, 2021, at 10 a.m. Pacific Daylight Time via live webcast by visiting http://www.virtualshareholdermeeting.com/WISH2021.</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42B6E9"/>
        </w:rPr>
        <w:t>INTERNET AVAILABILITY OF PROXY MATERIALS</w:t>
      </w:r>
    </w:p>
    <w:p>
      <w:pPr>
        <w:spacing w:after="0" w:line="13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are making this Proxy Statement and our Annual Report available to stockholders primarily via the Internet, instead of mailing printed copies of those materials to each stockholder. On or around April 28, 2021, we intend to mail to our stockholders: (a) a copy of this Proxy Statement, a proxy card, and our Annual Report, or (b) a notice (the “Notice”) containing instructions on how to access and review this Proxy Statement and our Annual Report. The Notice also instructs you on how you may submit your proxy over the Internet or via telephone in advance of our Annual Meeting, and how to vote online during our Annual Meeting. If you have received a Notice and would like to receive a printed copy of our proxy materials, you should follow the instructions in the Notice for requesting those materials.</w:t>
      </w:r>
    </w:p>
    <w:p>
      <w:pPr>
        <w:spacing w:after="0" w:line="15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 xml:space="preserve">Additionally, you can find a copy of our Annual Report on Form 10-K, which includes our financial statements for the fiscal year ended December 31, 2020, on the website of the Securities and Exchange Commission (“SEC”), at www.sec.gov, or in the “SEC Filings” section of the “Financial Information” section of our website located at </w:t>
      </w:r>
      <w:r>
        <w:rPr>
          <w:rFonts w:ascii="Arial" w:cs="Arial" w:eastAsia="Arial" w:hAnsi="Arial"/>
          <w:sz w:val="16"/>
          <w:szCs w:val="16"/>
          <w:i w:val="1"/>
          <w:iCs w:val="1"/>
          <w:color w:val="auto"/>
        </w:rPr>
        <w:t>www.ir.wish.com</w:t>
      </w:r>
      <w:r>
        <w:rPr>
          <w:rFonts w:ascii="Arial" w:cs="Arial" w:eastAsia="Arial" w:hAnsi="Arial"/>
          <w:sz w:val="16"/>
          <w:szCs w:val="16"/>
          <w:color w:val="auto"/>
        </w:rPr>
        <w:t>. You may also obtain a printed copy of our Annual Report on Form 10-K, which includes our financial statements, free of charge, by sending a written request to corporatesecretary@wish.com. Exhibits will be provided upon written request and payment of an appropriate processing fee.</w:t>
      </w:r>
    </w:p>
    <w:p>
      <w:pPr>
        <w:spacing w:after="0" w:line="188"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0"/>
          </w:cols>
          <w:pgMar w:left="1160" w:top="265" w:right="1179" w:bottom="1440" w:gutter="0" w:footer="0" w:header="0"/>
        </w:sectPr>
      </w:pPr>
    </w:p>
    <w:bookmarkStart w:id="4" w:name="page5"/>
    <w:bookmarkEnd w:id="4"/>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42B6E9"/>
        </w:rPr>
        <w:t>TABLE OF CONTENTS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gridSpan w:val="5"/>
          </w:tcPr>
          <w:p>
            <w:pP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80"/>
        </w:trPr>
        <w:tc>
          <w:tcPr>
            <w:tcW w:w="7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9"/>
        </w:trPr>
        <w:tc>
          <w:tcPr>
            <w:tcW w:w="780" w:type="dxa"/>
            <w:vAlign w:val="bottom"/>
          </w:tcPr>
          <w:p>
            <w:pPr>
              <w:spacing w:after="0"/>
              <w:rPr>
                <w:sz w:val="24"/>
                <w:szCs w:val="24"/>
                <w:color w:val="auto"/>
              </w:rPr>
            </w:pPr>
          </w:p>
        </w:tc>
        <w:tc>
          <w:tcPr>
            <w:tcW w:w="6360" w:type="dxa"/>
            <w:vAlign w:val="bottom"/>
            <w:gridSpan w:val="11"/>
          </w:tcPr>
          <w:p>
            <w:pPr>
              <w:spacing w:after="0"/>
              <w:rPr>
                <w:rFonts w:ascii="Arial" w:cs="Arial" w:eastAsia="Arial" w:hAnsi="Arial"/>
                <w:sz w:val="22"/>
                <w:szCs w:val="22"/>
                <w:b w:val="1"/>
                <w:bCs w:val="1"/>
                <w:color w:val="0000EE"/>
                <w:w w:val="97"/>
              </w:rPr>
            </w:pPr>
            <w:hyperlink w:anchor="page6">
              <w:r>
                <w:rPr>
                  <w:rFonts w:ascii="Arial" w:cs="Arial" w:eastAsia="Arial" w:hAnsi="Arial"/>
                  <w:sz w:val="22"/>
                  <w:szCs w:val="22"/>
                  <w:b w:val="1"/>
                  <w:bCs w:val="1"/>
                  <w:color w:val="0000EE"/>
                  <w:w w:val="97"/>
                </w:rPr>
                <w:t>Questions and Answers About This Proxy Material and Voting</w:t>
              </w:r>
            </w:hyperlink>
          </w:p>
        </w:tc>
        <w:tc>
          <w:tcPr>
            <w:tcW w:w="2740" w:type="dxa"/>
            <w:vAlign w:val="bottom"/>
            <w:gridSpan w:val="7"/>
          </w:tcPr>
          <w:p>
            <w:pPr>
              <w:spacing w:after="0"/>
              <w:rPr>
                <w:sz w:val="24"/>
                <w:szCs w:val="24"/>
                <w:color w:val="auto"/>
              </w:rPr>
            </w:pPr>
          </w:p>
        </w:tc>
        <w:tc>
          <w:tcPr>
            <w:tcW w:w="160" w:type="dxa"/>
            <w:vAlign w:val="bottom"/>
            <w:gridSpan w:val="2"/>
          </w:tcPr>
          <w:p>
            <w:pPr>
              <w:spacing w:after="0"/>
              <w:rPr>
                <w:sz w:val="24"/>
                <w:szCs w:val="24"/>
                <w:color w:val="auto"/>
              </w:rPr>
            </w:pPr>
          </w:p>
        </w:tc>
        <w:tc>
          <w:tcPr>
            <w:tcW w:w="120" w:type="dxa"/>
            <w:vAlign w:val="bottom"/>
          </w:tcPr>
          <w:p>
            <w:pPr>
              <w:jc w:val="right"/>
              <w:spacing w:after="0"/>
              <w:rPr>
                <w:rFonts w:ascii="Arial" w:cs="Arial" w:eastAsia="Arial" w:hAnsi="Arial"/>
                <w:sz w:val="22"/>
                <w:szCs w:val="22"/>
                <w:b w:val="1"/>
                <w:bCs w:val="1"/>
                <w:color w:val="0000EE"/>
                <w:w w:val="81"/>
              </w:rPr>
            </w:pPr>
            <w:hyperlink w:anchor="page6">
              <w:r>
                <w:rPr>
                  <w:rFonts w:ascii="Arial" w:cs="Arial" w:eastAsia="Arial" w:hAnsi="Arial"/>
                  <w:sz w:val="22"/>
                  <w:szCs w:val="22"/>
                  <w:b w:val="1"/>
                  <w:bCs w:val="1"/>
                  <w:color w:val="0000EE"/>
                  <w:w w:val="81"/>
                </w:rPr>
                <w:t>1</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780" w:type="dxa"/>
            <w:vAlign w:val="bottom"/>
          </w:tcPr>
          <w:p>
            <w:pPr>
              <w:spacing w:after="0"/>
              <w:rPr>
                <w:sz w:val="24"/>
                <w:szCs w:val="24"/>
                <w:color w:val="auto"/>
              </w:rPr>
            </w:pPr>
          </w:p>
        </w:tc>
        <w:tc>
          <w:tcPr>
            <w:tcW w:w="6360" w:type="dxa"/>
            <w:vAlign w:val="bottom"/>
            <w:gridSpan w:val="11"/>
          </w:tcPr>
          <w:p>
            <w:pPr>
              <w:spacing w:after="0"/>
              <w:rPr>
                <w:rFonts w:ascii="Arial" w:cs="Arial" w:eastAsia="Arial" w:hAnsi="Arial"/>
                <w:sz w:val="22"/>
                <w:szCs w:val="22"/>
                <w:b w:val="1"/>
                <w:bCs w:val="1"/>
                <w:color w:val="0000EE"/>
              </w:rPr>
            </w:pPr>
            <w:hyperlink w:anchor="page11">
              <w:r>
                <w:rPr>
                  <w:rFonts w:ascii="Arial" w:cs="Arial" w:eastAsia="Arial" w:hAnsi="Arial"/>
                  <w:sz w:val="22"/>
                  <w:szCs w:val="22"/>
                  <w:b w:val="1"/>
                  <w:bCs w:val="1"/>
                  <w:color w:val="0000EE"/>
                </w:rPr>
                <w:t>Directors, Executive Officers, and Corporate Governance</w:t>
              </w:r>
            </w:hyperlink>
          </w:p>
        </w:tc>
        <w:tc>
          <w:tcPr>
            <w:tcW w:w="2740" w:type="dxa"/>
            <w:vAlign w:val="bottom"/>
            <w:gridSpan w:val="7"/>
          </w:tcPr>
          <w:p>
            <w:pPr>
              <w:spacing w:after="0"/>
              <w:rPr>
                <w:sz w:val="24"/>
                <w:szCs w:val="24"/>
                <w:color w:val="auto"/>
              </w:rPr>
            </w:pPr>
          </w:p>
        </w:tc>
        <w:tc>
          <w:tcPr>
            <w:tcW w:w="160" w:type="dxa"/>
            <w:vAlign w:val="bottom"/>
            <w:gridSpan w:val="2"/>
          </w:tcPr>
          <w:p>
            <w:pPr>
              <w:spacing w:after="0"/>
              <w:rPr>
                <w:sz w:val="24"/>
                <w:szCs w:val="24"/>
                <w:color w:val="auto"/>
              </w:rPr>
            </w:pPr>
          </w:p>
        </w:tc>
        <w:tc>
          <w:tcPr>
            <w:tcW w:w="120" w:type="dxa"/>
            <w:vAlign w:val="bottom"/>
          </w:tcPr>
          <w:p>
            <w:pPr>
              <w:jc w:val="right"/>
              <w:spacing w:after="0"/>
              <w:rPr>
                <w:rFonts w:ascii="Arial" w:cs="Arial" w:eastAsia="Arial" w:hAnsi="Arial"/>
                <w:sz w:val="22"/>
                <w:szCs w:val="22"/>
                <w:b w:val="1"/>
                <w:bCs w:val="1"/>
                <w:color w:val="0000EE"/>
                <w:w w:val="81"/>
              </w:rPr>
            </w:pPr>
            <w:hyperlink w:anchor="page11">
              <w:r>
                <w:rPr>
                  <w:rFonts w:ascii="Arial" w:cs="Arial" w:eastAsia="Arial" w:hAnsi="Arial"/>
                  <w:sz w:val="22"/>
                  <w:szCs w:val="22"/>
                  <w:b w:val="1"/>
                  <w:bCs w:val="1"/>
                  <w:color w:val="0000EE"/>
                  <w:w w:val="81"/>
                </w:rPr>
                <w:t>6</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780" w:type="dxa"/>
            <w:vAlign w:val="bottom"/>
          </w:tcPr>
          <w:p>
            <w:pPr>
              <w:spacing w:after="0"/>
              <w:rPr>
                <w:sz w:val="24"/>
                <w:szCs w:val="24"/>
                <w:color w:val="auto"/>
              </w:rPr>
            </w:pPr>
          </w:p>
        </w:tc>
        <w:tc>
          <w:tcPr>
            <w:tcW w:w="6860" w:type="dxa"/>
            <w:vAlign w:val="bottom"/>
            <w:gridSpan w:val="12"/>
          </w:tcPr>
          <w:p>
            <w:pPr>
              <w:spacing w:after="0"/>
              <w:rPr>
                <w:rFonts w:ascii="Arial" w:cs="Arial" w:eastAsia="Arial" w:hAnsi="Arial"/>
                <w:sz w:val="22"/>
                <w:szCs w:val="22"/>
                <w:b w:val="1"/>
                <w:bCs w:val="1"/>
                <w:color w:val="0000EE"/>
                <w:w w:val="97"/>
              </w:rPr>
            </w:pPr>
            <w:hyperlink w:anchor="page19">
              <w:r>
                <w:rPr>
                  <w:rFonts w:ascii="Arial" w:cs="Arial" w:eastAsia="Arial" w:hAnsi="Arial"/>
                  <w:sz w:val="22"/>
                  <w:szCs w:val="22"/>
                  <w:b w:val="1"/>
                  <w:bCs w:val="1"/>
                  <w:color w:val="0000EE"/>
                  <w:w w:val="97"/>
                </w:rPr>
                <w:t>Security Ownership of Certain Beneficial Owners and Management</w:t>
              </w:r>
            </w:hyperlink>
          </w:p>
        </w:tc>
        <w:tc>
          <w:tcPr>
            <w:tcW w:w="2240" w:type="dxa"/>
            <w:vAlign w:val="bottom"/>
            <w:gridSpan w:val="6"/>
          </w:tcPr>
          <w:p>
            <w:pPr>
              <w:spacing w:after="0"/>
              <w:rPr>
                <w:sz w:val="24"/>
                <w:szCs w:val="24"/>
                <w:color w:val="auto"/>
              </w:rPr>
            </w:pPr>
          </w:p>
        </w:tc>
        <w:tc>
          <w:tcPr>
            <w:tcW w:w="280" w:type="dxa"/>
            <w:vAlign w:val="bottom"/>
            <w:gridSpan w:val="3"/>
          </w:tcPr>
          <w:p>
            <w:pPr>
              <w:jc w:val="right"/>
              <w:spacing w:after="0"/>
              <w:rPr>
                <w:rFonts w:ascii="Arial" w:cs="Arial" w:eastAsia="Arial" w:hAnsi="Arial"/>
                <w:sz w:val="22"/>
                <w:szCs w:val="22"/>
                <w:b w:val="1"/>
                <w:bCs w:val="1"/>
                <w:color w:val="0000EE"/>
              </w:rPr>
            </w:pPr>
            <w:hyperlink w:anchor="page19">
              <w:r>
                <w:rPr>
                  <w:rFonts w:ascii="Arial" w:cs="Arial" w:eastAsia="Arial" w:hAnsi="Arial"/>
                  <w:sz w:val="22"/>
                  <w:szCs w:val="22"/>
                  <w:b w:val="1"/>
                  <w:bCs w:val="1"/>
                  <w:color w:val="0000EE"/>
                </w:rPr>
                <w:t>14</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780" w:type="dxa"/>
            <w:vAlign w:val="bottom"/>
          </w:tcPr>
          <w:p>
            <w:pPr>
              <w:spacing w:after="0"/>
              <w:rPr>
                <w:sz w:val="24"/>
                <w:szCs w:val="24"/>
                <w:color w:val="auto"/>
              </w:rPr>
            </w:pPr>
          </w:p>
        </w:tc>
        <w:tc>
          <w:tcPr>
            <w:tcW w:w="5980" w:type="dxa"/>
            <w:vAlign w:val="bottom"/>
            <w:gridSpan w:val="10"/>
          </w:tcPr>
          <w:p>
            <w:pPr>
              <w:spacing w:after="0"/>
              <w:rPr>
                <w:rFonts w:ascii="Arial" w:cs="Arial" w:eastAsia="Arial" w:hAnsi="Arial"/>
                <w:sz w:val="22"/>
                <w:szCs w:val="22"/>
                <w:b w:val="1"/>
                <w:bCs w:val="1"/>
                <w:color w:val="0000EE"/>
                <w:w w:val="98"/>
              </w:rPr>
            </w:pPr>
            <w:hyperlink w:anchor="page22">
              <w:r>
                <w:rPr>
                  <w:rFonts w:ascii="Arial" w:cs="Arial" w:eastAsia="Arial" w:hAnsi="Arial"/>
                  <w:sz w:val="22"/>
                  <w:szCs w:val="22"/>
                  <w:b w:val="1"/>
                  <w:bCs w:val="1"/>
                  <w:color w:val="0000EE"/>
                  <w:w w:val="98"/>
                </w:rPr>
                <w:t>Section 16(a) Beneficial Ownership Reporting Compliance</w:t>
              </w:r>
            </w:hyperlink>
          </w:p>
        </w:tc>
        <w:tc>
          <w:tcPr>
            <w:tcW w:w="880" w:type="dxa"/>
            <w:vAlign w:val="bottom"/>
            <w:gridSpan w:val="2"/>
          </w:tcPr>
          <w:p>
            <w:pPr>
              <w:spacing w:after="0"/>
              <w:rPr>
                <w:sz w:val="24"/>
                <w:szCs w:val="24"/>
                <w:color w:val="auto"/>
              </w:rPr>
            </w:pPr>
          </w:p>
        </w:tc>
        <w:tc>
          <w:tcPr>
            <w:tcW w:w="2240" w:type="dxa"/>
            <w:vAlign w:val="bottom"/>
            <w:gridSpan w:val="6"/>
          </w:tcPr>
          <w:p>
            <w:pPr>
              <w:spacing w:after="0"/>
              <w:rPr>
                <w:sz w:val="24"/>
                <w:szCs w:val="24"/>
                <w:color w:val="auto"/>
              </w:rPr>
            </w:pPr>
          </w:p>
        </w:tc>
        <w:tc>
          <w:tcPr>
            <w:tcW w:w="280" w:type="dxa"/>
            <w:vAlign w:val="bottom"/>
            <w:gridSpan w:val="3"/>
          </w:tcPr>
          <w:p>
            <w:pPr>
              <w:jc w:val="right"/>
              <w:spacing w:after="0"/>
              <w:rPr>
                <w:rFonts w:ascii="Arial" w:cs="Arial" w:eastAsia="Arial" w:hAnsi="Arial"/>
                <w:sz w:val="22"/>
                <w:szCs w:val="22"/>
                <w:b w:val="1"/>
                <w:bCs w:val="1"/>
                <w:color w:val="0000EE"/>
              </w:rPr>
            </w:pPr>
            <w:hyperlink w:anchor="page22">
              <w:r>
                <w:rPr>
                  <w:rFonts w:ascii="Arial" w:cs="Arial" w:eastAsia="Arial" w:hAnsi="Arial"/>
                  <w:sz w:val="22"/>
                  <w:szCs w:val="22"/>
                  <w:b w:val="1"/>
                  <w:bCs w:val="1"/>
                  <w:color w:val="0000EE"/>
                </w:rPr>
                <w:t>17</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780" w:type="dxa"/>
            <w:vAlign w:val="bottom"/>
          </w:tcPr>
          <w:p>
            <w:pPr>
              <w:spacing w:after="0"/>
              <w:rPr>
                <w:sz w:val="24"/>
                <w:szCs w:val="24"/>
                <w:color w:val="auto"/>
              </w:rPr>
            </w:pPr>
          </w:p>
        </w:tc>
        <w:tc>
          <w:tcPr>
            <w:tcW w:w="5980" w:type="dxa"/>
            <w:vAlign w:val="bottom"/>
            <w:gridSpan w:val="10"/>
          </w:tcPr>
          <w:p>
            <w:pPr>
              <w:spacing w:after="0"/>
              <w:rPr>
                <w:rFonts w:ascii="Arial" w:cs="Arial" w:eastAsia="Arial" w:hAnsi="Arial"/>
                <w:sz w:val="22"/>
                <w:szCs w:val="22"/>
                <w:b w:val="1"/>
                <w:bCs w:val="1"/>
                <w:color w:val="0000EE"/>
              </w:rPr>
            </w:pPr>
            <w:hyperlink w:anchor="page23">
              <w:r>
                <w:rPr>
                  <w:rFonts w:ascii="Arial" w:cs="Arial" w:eastAsia="Arial" w:hAnsi="Arial"/>
                  <w:sz w:val="22"/>
                  <w:szCs w:val="22"/>
                  <w:b w:val="1"/>
                  <w:bCs w:val="1"/>
                  <w:color w:val="0000EE"/>
                </w:rPr>
                <w:t>Certain Relationships and Related Party Transactions</w:t>
              </w:r>
            </w:hyperlink>
          </w:p>
        </w:tc>
        <w:tc>
          <w:tcPr>
            <w:tcW w:w="3120" w:type="dxa"/>
            <w:vAlign w:val="bottom"/>
            <w:gridSpan w:val="8"/>
          </w:tcPr>
          <w:p>
            <w:pPr>
              <w:spacing w:after="0"/>
              <w:rPr>
                <w:sz w:val="24"/>
                <w:szCs w:val="24"/>
                <w:color w:val="auto"/>
              </w:rPr>
            </w:pPr>
          </w:p>
        </w:tc>
        <w:tc>
          <w:tcPr>
            <w:tcW w:w="280" w:type="dxa"/>
            <w:vAlign w:val="bottom"/>
            <w:gridSpan w:val="3"/>
          </w:tcPr>
          <w:p>
            <w:pPr>
              <w:jc w:val="right"/>
              <w:spacing w:after="0"/>
              <w:rPr>
                <w:rFonts w:ascii="Arial" w:cs="Arial" w:eastAsia="Arial" w:hAnsi="Arial"/>
                <w:sz w:val="22"/>
                <w:szCs w:val="22"/>
                <w:b w:val="1"/>
                <w:bCs w:val="1"/>
                <w:color w:val="0000EE"/>
              </w:rPr>
            </w:pPr>
            <w:hyperlink w:anchor="page23">
              <w:r>
                <w:rPr>
                  <w:rFonts w:ascii="Arial" w:cs="Arial" w:eastAsia="Arial" w:hAnsi="Arial"/>
                  <w:sz w:val="22"/>
                  <w:szCs w:val="22"/>
                  <w:b w:val="1"/>
                  <w:bCs w:val="1"/>
                  <w:color w:val="0000EE"/>
                </w:rPr>
                <w:t>18</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780" w:type="dxa"/>
            <w:vAlign w:val="bottom"/>
          </w:tcPr>
          <w:p>
            <w:pPr>
              <w:spacing w:after="0"/>
              <w:rPr>
                <w:sz w:val="24"/>
                <w:szCs w:val="24"/>
                <w:color w:val="auto"/>
              </w:rPr>
            </w:pPr>
          </w:p>
        </w:tc>
        <w:tc>
          <w:tcPr>
            <w:tcW w:w="2580" w:type="dxa"/>
            <w:vAlign w:val="bottom"/>
            <w:gridSpan w:val="4"/>
          </w:tcPr>
          <w:p>
            <w:pPr>
              <w:spacing w:after="0"/>
              <w:rPr>
                <w:rFonts w:ascii="Arial" w:cs="Arial" w:eastAsia="Arial" w:hAnsi="Arial"/>
                <w:sz w:val="22"/>
                <w:szCs w:val="22"/>
                <w:b w:val="1"/>
                <w:bCs w:val="1"/>
                <w:color w:val="0000EE"/>
                <w:w w:val="97"/>
              </w:rPr>
            </w:pPr>
            <w:hyperlink w:anchor="page24">
              <w:r>
                <w:rPr>
                  <w:rFonts w:ascii="Arial" w:cs="Arial" w:eastAsia="Arial" w:hAnsi="Arial"/>
                  <w:sz w:val="22"/>
                  <w:szCs w:val="22"/>
                  <w:b w:val="1"/>
                  <w:bCs w:val="1"/>
                  <w:color w:val="0000EE"/>
                  <w:w w:val="97"/>
                </w:rPr>
                <w:t>Executive Compensation</w:t>
              </w:r>
            </w:hyperlink>
          </w:p>
        </w:tc>
        <w:tc>
          <w:tcPr>
            <w:tcW w:w="2920" w:type="dxa"/>
            <w:vAlign w:val="bottom"/>
            <w:gridSpan w:val="3"/>
          </w:tcPr>
          <w:p>
            <w:pPr>
              <w:spacing w:after="0"/>
              <w:rPr>
                <w:sz w:val="24"/>
                <w:szCs w:val="24"/>
                <w:color w:val="auto"/>
              </w:rPr>
            </w:pPr>
          </w:p>
        </w:tc>
        <w:tc>
          <w:tcPr>
            <w:tcW w:w="3600" w:type="dxa"/>
            <w:vAlign w:val="bottom"/>
            <w:gridSpan w:val="11"/>
          </w:tcPr>
          <w:p>
            <w:pPr>
              <w:spacing w:after="0"/>
              <w:rPr>
                <w:sz w:val="24"/>
                <w:szCs w:val="24"/>
                <w:color w:val="auto"/>
              </w:rPr>
            </w:pPr>
          </w:p>
        </w:tc>
        <w:tc>
          <w:tcPr>
            <w:tcW w:w="280" w:type="dxa"/>
            <w:vAlign w:val="bottom"/>
            <w:gridSpan w:val="3"/>
          </w:tcPr>
          <w:p>
            <w:pPr>
              <w:jc w:val="right"/>
              <w:spacing w:after="0"/>
              <w:rPr>
                <w:rFonts w:ascii="Arial" w:cs="Arial" w:eastAsia="Arial" w:hAnsi="Arial"/>
                <w:sz w:val="22"/>
                <w:szCs w:val="22"/>
                <w:b w:val="1"/>
                <w:bCs w:val="1"/>
                <w:color w:val="0000EE"/>
              </w:rPr>
            </w:pPr>
            <w:hyperlink w:anchor="page24">
              <w:r>
                <w:rPr>
                  <w:rFonts w:ascii="Arial" w:cs="Arial" w:eastAsia="Arial" w:hAnsi="Arial"/>
                  <w:sz w:val="22"/>
                  <w:szCs w:val="22"/>
                  <w:b w:val="1"/>
                  <w:bCs w:val="1"/>
                  <w:color w:val="0000EE"/>
                </w:rPr>
                <w:t>19</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80" w:type="dxa"/>
            <w:vAlign w:val="bottom"/>
          </w:tcPr>
          <w:p>
            <w:pPr>
              <w:spacing w:after="0"/>
              <w:rPr>
                <w:sz w:val="24"/>
                <w:szCs w:val="24"/>
                <w:color w:val="auto"/>
              </w:rPr>
            </w:pPr>
          </w:p>
        </w:tc>
        <w:tc>
          <w:tcPr>
            <w:tcW w:w="2400" w:type="dxa"/>
            <w:vAlign w:val="bottom"/>
            <w:gridSpan w:val="3"/>
          </w:tcPr>
          <w:p>
            <w:pPr>
              <w:spacing w:after="0"/>
              <w:rPr>
                <w:rFonts w:ascii="Arial" w:cs="Arial" w:eastAsia="Arial" w:hAnsi="Arial"/>
                <w:sz w:val="22"/>
                <w:szCs w:val="22"/>
                <w:b w:val="1"/>
                <w:bCs w:val="1"/>
                <w:color w:val="0000EE"/>
                <w:w w:val="97"/>
              </w:rPr>
            </w:pPr>
            <w:hyperlink w:anchor="page37">
              <w:r>
                <w:rPr>
                  <w:rFonts w:ascii="Arial" w:cs="Arial" w:eastAsia="Arial" w:hAnsi="Arial"/>
                  <w:sz w:val="22"/>
                  <w:szCs w:val="22"/>
                  <w:b w:val="1"/>
                  <w:bCs w:val="1"/>
                  <w:color w:val="0000EE"/>
                  <w:w w:val="97"/>
                </w:rPr>
                <w:t>Director Compensation</w:t>
              </w:r>
            </w:hyperlink>
          </w:p>
        </w:tc>
        <w:tc>
          <w:tcPr>
            <w:tcW w:w="180" w:type="dxa"/>
            <w:vAlign w:val="bottom"/>
          </w:tcPr>
          <w:p>
            <w:pPr>
              <w:spacing w:after="0"/>
              <w:rPr>
                <w:sz w:val="24"/>
                <w:szCs w:val="24"/>
                <w:color w:val="auto"/>
              </w:rPr>
            </w:pPr>
          </w:p>
        </w:tc>
        <w:tc>
          <w:tcPr>
            <w:tcW w:w="6520" w:type="dxa"/>
            <w:vAlign w:val="bottom"/>
            <w:gridSpan w:val="14"/>
          </w:tcPr>
          <w:p>
            <w:pPr>
              <w:spacing w:after="0"/>
              <w:rPr>
                <w:sz w:val="24"/>
                <w:szCs w:val="24"/>
                <w:color w:val="auto"/>
              </w:rPr>
            </w:pPr>
          </w:p>
        </w:tc>
        <w:tc>
          <w:tcPr>
            <w:tcW w:w="280" w:type="dxa"/>
            <w:vAlign w:val="bottom"/>
            <w:gridSpan w:val="3"/>
          </w:tcPr>
          <w:p>
            <w:pPr>
              <w:jc w:val="right"/>
              <w:spacing w:after="0"/>
              <w:rPr>
                <w:rFonts w:ascii="Arial" w:cs="Arial" w:eastAsia="Arial" w:hAnsi="Arial"/>
                <w:sz w:val="22"/>
                <w:szCs w:val="22"/>
                <w:b w:val="1"/>
                <w:bCs w:val="1"/>
                <w:color w:val="0000EE"/>
              </w:rPr>
            </w:pPr>
            <w:hyperlink w:anchor="page37">
              <w:r>
                <w:rPr>
                  <w:rFonts w:ascii="Arial" w:cs="Arial" w:eastAsia="Arial" w:hAnsi="Arial"/>
                  <w:sz w:val="22"/>
                  <w:szCs w:val="22"/>
                  <w:b w:val="1"/>
                  <w:bCs w:val="1"/>
                  <w:color w:val="0000EE"/>
                </w:rPr>
                <w:t>32</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780" w:type="dxa"/>
            <w:vAlign w:val="bottom"/>
          </w:tcPr>
          <w:p>
            <w:pPr>
              <w:spacing w:after="0"/>
              <w:rPr>
                <w:sz w:val="24"/>
                <w:szCs w:val="24"/>
                <w:color w:val="auto"/>
              </w:rPr>
            </w:pPr>
          </w:p>
        </w:tc>
        <w:tc>
          <w:tcPr>
            <w:tcW w:w="7160" w:type="dxa"/>
            <w:vAlign w:val="bottom"/>
            <w:gridSpan w:val="13"/>
          </w:tcPr>
          <w:p>
            <w:pPr>
              <w:spacing w:after="0"/>
              <w:rPr>
                <w:rFonts w:ascii="Arial" w:cs="Arial" w:eastAsia="Arial" w:hAnsi="Arial"/>
                <w:sz w:val="22"/>
                <w:szCs w:val="22"/>
                <w:b w:val="1"/>
                <w:bCs w:val="1"/>
                <w:color w:val="0000EE"/>
                <w:w w:val="97"/>
              </w:rPr>
            </w:pPr>
            <w:hyperlink w:anchor="page38">
              <w:r>
                <w:rPr>
                  <w:rFonts w:ascii="Arial" w:cs="Arial" w:eastAsia="Arial" w:hAnsi="Arial"/>
                  <w:sz w:val="22"/>
                  <w:szCs w:val="22"/>
                  <w:b w:val="1"/>
                  <w:bCs w:val="1"/>
                  <w:color w:val="0000EE"/>
                  <w:w w:val="97"/>
                </w:rPr>
                <w:t>Securities Authorized for Issuance Under Equity Compensation Plans</w:t>
              </w:r>
            </w:hyperlink>
          </w:p>
        </w:tc>
        <w:tc>
          <w:tcPr>
            <w:tcW w:w="1940" w:type="dxa"/>
            <w:vAlign w:val="bottom"/>
            <w:gridSpan w:val="5"/>
          </w:tcPr>
          <w:p>
            <w:pPr>
              <w:spacing w:after="0"/>
              <w:rPr>
                <w:sz w:val="24"/>
                <w:szCs w:val="24"/>
                <w:color w:val="auto"/>
              </w:rPr>
            </w:pPr>
          </w:p>
        </w:tc>
        <w:tc>
          <w:tcPr>
            <w:tcW w:w="280" w:type="dxa"/>
            <w:vAlign w:val="bottom"/>
            <w:gridSpan w:val="3"/>
          </w:tcPr>
          <w:p>
            <w:pPr>
              <w:jc w:val="right"/>
              <w:spacing w:after="0"/>
              <w:rPr>
                <w:rFonts w:ascii="Arial" w:cs="Arial" w:eastAsia="Arial" w:hAnsi="Arial"/>
                <w:sz w:val="22"/>
                <w:szCs w:val="22"/>
                <w:b w:val="1"/>
                <w:bCs w:val="1"/>
                <w:color w:val="0000EE"/>
              </w:rPr>
            </w:pPr>
            <w:hyperlink w:anchor="page38">
              <w:r>
                <w:rPr>
                  <w:rFonts w:ascii="Arial" w:cs="Arial" w:eastAsia="Arial" w:hAnsi="Arial"/>
                  <w:sz w:val="22"/>
                  <w:szCs w:val="22"/>
                  <w:b w:val="1"/>
                  <w:bCs w:val="1"/>
                  <w:color w:val="0000EE"/>
                </w:rPr>
                <w:t>33</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gridSpan w:val="2"/>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780" w:type="dxa"/>
            <w:vAlign w:val="bottom"/>
          </w:tcPr>
          <w:p>
            <w:pPr>
              <w:spacing w:after="0"/>
              <w:rPr>
                <w:sz w:val="24"/>
                <w:szCs w:val="24"/>
                <w:color w:val="auto"/>
              </w:rPr>
            </w:pPr>
          </w:p>
        </w:tc>
        <w:tc>
          <w:tcPr>
            <w:tcW w:w="4940" w:type="dxa"/>
            <w:vAlign w:val="bottom"/>
            <w:gridSpan w:val="6"/>
          </w:tcPr>
          <w:p>
            <w:pPr>
              <w:spacing w:after="0"/>
              <w:rPr>
                <w:rFonts w:ascii="Arial" w:cs="Arial" w:eastAsia="Arial" w:hAnsi="Arial"/>
                <w:sz w:val="22"/>
                <w:szCs w:val="22"/>
                <w:b w:val="1"/>
                <w:bCs w:val="1"/>
                <w:color w:val="0000EE"/>
                <w:w w:val="97"/>
              </w:rPr>
            </w:pPr>
            <w:hyperlink w:anchor="page39">
              <w:r>
                <w:rPr>
                  <w:rFonts w:ascii="Arial" w:cs="Arial" w:eastAsia="Arial" w:hAnsi="Arial"/>
                  <w:sz w:val="22"/>
                  <w:szCs w:val="22"/>
                  <w:b w:val="1"/>
                  <w:bCs w:val="1"/>
                  <w:color w:val="0000EE"/>
                  <w:w w:val="97"/>
                </w:rPr>
                <w:t>Independent Registered Public Accounting Firm</w:t>
              </w:r>
            </w:hyperlink>
          </w:p>
        </w:tc>
        <w:tc>
          <w:tcPr>
            <w:tcW w:w="2220" w:type="dxa"/>
            <w:vAlign w:val="bottom"/>
            <w:gridSpan w:val="7"/>
          </w:tcPr>
          <w:p>
            <w:pPr>
              <w:spacing w:after="0"/>
              <w:rPr>
                <w:sz w:val="24"/>
                <w:szCs w:val="24"/>
                <w:color w:val="auto"/>
              </w:rPr>
            </w:pPr>
          </w:p>
        </w:tc>
        <w:tc>
          <w:tcPr>
            <w:tcW w:w="1940" w:type="dxa"/>
            <w:vAlign w:val="bottom"/>
            <w:gridSpan w:val="5"/>
          </w:tcPr>
          <w:p>
            <w:pPr>
              <w:spacing w:after="0"/>
              <w:rPr>
                <w:sz w:val="24"/>
                <w:szCs w:val="24"/>
                <w:color w:val="auto"/>
              </w:rPr>
            </w:pPr>
          </w:p>
        </w:tc>
        <w:tc>
          <w:tcPr>
            <w:tcW w:w="280" w:type="dxa"/>
            <w:vAlign w:val="bottom"/>
            <w:gridSpan w:val="3"/>
          </w:tcPr>
          <w:p>
            <w:pPr>
              <w:jc w:val="right"/>
              <w:spacing w:after="0"/>
              <w:rPr>
                <w:rFonts w:ascii="Arial" w:cs="Arial" w:eastAsia="Arial" w:hAnsi="Arial"/>
                <w:sz w:val="22"/>
                <w:szCs w:val="22"/>
                <w:b w:val="1"/>
                <w:bCs w:val="1"/>
                <w:color w:val="0000EE"/>
              </w:rPr>
            </w:pPr>
            <w:hyperlink w:anchor="page39">
              <w:r>
                <w:rPr>
                  <w:rFonts w:ascii="Arial" w:cs="Arial" w:eastAsia="Arial" w:hAnsi="Arial"/>
                  <w:sz w:val="22"/>
                  <w:szCs w:val="22"/>
                  <w:b w:val="1"/>
                  <w:bCs w:val="1"/>
                  <w:color w:val="0000EE"/>
                </w:rPr>
                <w:t>34</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gridSpan w:val="2"/>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780" w:type="dxa"/>
            <w:vAlign w:val="bottom"/>
          </w:tcPr>
          <w:p>
            <w:pPr>
              <w:spacing w:after="0"/>
              <w:rPr>
                <w:sz w:val="24"/>
                <w:szCs w:val="24"/>
                <w:color w:val="auto"/>
              </w:rPr>
            </w:pPr>
          </w:p>
        </w:tc>
        <w:tc>
          <w:tcPr>
            <w:tcW w:w="9100" w:type="dxa"/>
            <w:vAlign w:val="bottom"/>
            <w:gridSpan w:val="18"/>
          </w:tcPr>
          <w:p>
            <w:pPr>
              <w:spacing w:after="0"/>
              <w:rPr>
                <w:rFonts w:ascii="Arial" w:cs="Arial" w:eastAsia="Arial" w:hAnsi="Arial"/>
                <w:sz w:val="22"/>
                <w:szCs w:val="22"/>
                <w:b w:val="1"/>
                <w:bCs w:val="1"/>
                <w:color w:val="0000EE"/>
              </w:rPr>
            </w:pPr>
            <w:hyperlink w:anchor="page40">
              <w:r>
                <w:rPr>
                  <w:rFonts w:ascii="Arial" w:cs="Arial" w:eastAsia="Arial" w:hAnsi="Arial"/>
                  <w:sz w:val="22"/>
                  <w:szCs w:val="22"/>
                  <w:b w:val="1"/>
                  <w:bCs w:val="1"/>
                  <w:color w:val="0000EE"/>
                </w:rPr>
                <w:t>Report of the Audit Committee of the Board of Directors</w:t>
              </w:r>
            </w:hyperlink>
          </w:p>
        </w:tc>
        <w:tc>
          <w:tcPr>
            <w:tcW w:w="280" w:type="dxa"/>
            <w:vAlign w:val="bottom"/>
            <w:gridSpan w:val="3"/>
          </w:tcPr>
          <w:p>
            <w:pPr>
              <w:jc w:val="right"/>
              <w:spacing w:after="0"/>
              <w:rPr>
                <w:rFonts w:ascii="Arial" w:cs="Arial" w:eastAsia="Arial" w:hAnsi="Arial"/>
                <w:sz w:val="22"/>
                <w:szCs w:val="22"/>
                <w:b w:val="1"/>
                <w:bCs w:val="1"/>
                <w:color w:val="0000EE"/>
              </w:rPr>
            </w:pPr>
            <w:hyperlink w:anchor="page40">
              <w:r>
                <w:rPr>
                  <w:rFonts w:ascii="Arial" w:cs="Arial" w:eastAsia="Arial" w:hAnsi="Arial"/>
                  <w:sz w:val="22"/>
                  <w:szCs w:val="22"/>
                  <w:b w:val="1"/>
                  <w:bCs w:val="1"/>
                  <w:color w:val="0000EE"/>
                </w:rPr>
                <w:t>35</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gridSpan w:val="2"/>
            <w:shd w:val="clear" w:color="auto" w:fill="0000EE"/>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780" w:type="dxa"/>
            <w:vAlign w:val="bottom"/>
          </w:tcPr>
          <w:p>
            <w:pPr>
              <w:spacing w:after="0"/>
              <w:rPr>
                <w:sz w:val="24"/>
                <w:szCs w:val="24"/>
                <w:color w:val="auto"/>
              </w:rPr>
            </w:pPr>
          </w:p>
        </w:tc>
        <w:tc>
          <w:tcPr>
            <w:tcW w:w="3440" w:type="dxa"/>
            <w:vAlign w:val="bottom"/>
            <w:gridSpan w:val="5"/>
          </w:tcPr>
          <w:p>
            <w:pPr>
              <w:spacing w:after="0"/>
              <w:rPr>
                <w:rFonts w:ascii="Arial" w:cs="Arial" w:eastAsia="Arial" w:hAnsi="Arial"/>
                <w:sz w:val="22"/>
                <w:szCs w:val="22"/>
                <w:b w:val="1"/>
                <w:bCs w:val="1"/>
                <w:color w:val="0000EE"/>
                <w:w w:val="97"/>
              </w:rPr>
            </w:pPr>
            <w:hyperlink w:anchor="page41">
              <w:r>
                <w:rPr>
                  <w:rFonts w:ascii="Arial" w:cs="Arial" w:eastAsia="Arial" w:hAnsi="Arial"/>
                  <w:sz w:val="22"/>
                  <w:szCs w:val="22"/>
                  <w:b w:val="1"/>
                  <w:bCs w:val="1"/>
                  <w:color w:val="0000EE"/>
                  <w:w w:val="97"/>
                </w:rPr>
                <w:t>Proposal 1—Election of Directors</w:t>
              </w:r>
            </w:hyperlink>
          </w:p>
        </w:tc>
        <w:tc>
          <w:tcPr>
            <w:tcW w:w="2300" w:type="dxa"/>
            <w:vAlign w:val="bottom"/>
            <w:gridSpan w:val="3"/>
          </w:tcPr>
          <w:p>
            <w:pPr>
              <w:spacing w:after="0"/>
              <w:rPr>
                <w:sz w:val="24"/>
                <w:szCs w:val="24"/>
                <w:color w:val="auto"/>
              </w:rPr>
            </w:pPr>
          </w:p>
        </w:tc>
        <w:tc>
          <w:tcPr>
            <w:tcW w:w="3360" w:type="dxa"/>
            <w:vAlign w:val="bottom"/>
            <w:gridSpan w:val="10"/>
          </w:tcPr>
          <w:p>
            <w:pPr>
              <w:spacing w:after="0"/>
              <w:rPr>
                <w:sz w:val="24"/>
                <w:szCs w:val="24"/>
                <w:color w:val="auto"/>
              </w:rPr>
            </w:pPr>
          </w:p>
        </w:tc>
        <w:tc>
          <w:tcPr>
            <w:tcW w:w="280" w:type="dxa"/>
            <w:vAlign w:val="bottom"/>
            <w:gridSpan w:val="3"/>
          </w:tcPr>
          <w:p>
            <w:pPr>
              <w:jc w:val="right"/>
              <w:spacing w:after="0"/>
              <w:rPr>
                <w:rFonts w:ascii="Arial" w:cs="Arial" w:eastAsia="Arial" w:hAnsi="Arial"/>
                <w:sz w:val="22"/>
                <w:szCs w:val="22"/>
                <w:b w:val="1"/>
                <w:bCs w:val="1"/>
                <w:color w:val="0000EE"/>
              </w:rPr>
            </w:pPr>
            <w:hyperlink w:anchor="page41">
              <w:r>
                <w:rPr>
                  <w:rFonts w:ascii="Arial" w:cs="Arial" w:eastAsia="Arial" w:hAnsi="Arial"/>
                  <w:sz w:val="22"/>
                  <w:szCs w:val="22"/>
                  <w:b w:val="1"/>
                  <w:bCs w:val="1"/>
                  <w:color w:val="0000EE"/>
                </w:rPr>
                <w:t>36</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80" w:type="dxa"/>
            <w:vAlign w:val="bottom"/>
          </w:tcPr>
          <w:p>
            <w:pPr>
              <w:spacing w:after="0"/>
              <w:rPr>
                <w:sz w:val="24"/>
                <w:szCs w:val="24"/>
                <w:color w:val="auto"/>
              </w:rPr>
            </w:pPr>
          </w:p>
        </w:tc>
        <w:tc>
          <w:tcPr>
            <w:tcW w:w="9100" w:type="dxa"/>
            <w:vAlign w:val="bottom"/>
            <w:gridSpan w:val="18"/>
          </w:tcPr>
          <w:p>
            <w:pPr>
              <w:spacing w:after="0"/>
              <w:rPr>
                <w:rFonts w:ascii="Arial" w:cs="Arial" w:eastAsia="Arial" w:hAnsi="Arial"/>
                <w:sz w:val="22"/>
                <w:szCs w:val="22"/>
                <w:b w:val="1"/>
                <w:bCs w:val="1"/>
                <w:color w:val="0000EE"/>
              </w:rPr>
            </w:pPr>
            <w:hyperlink w:anchor="page42">
              <w:r>
                <w:rPr>
                  <w:rFonts w:ascii="Arial" w:cs="Arial" w:eastAsia="Arial" w:hAnsi="Arial"/>
                  <w:sz w:val="22"/>
                  <w:szCs w:val="22"/>
                  <w:b w:val="1"/>
                  <w:bCs w:val="1"/>
                  <w:color w:val="0000EE"/>
                </w:rPr>
                <w:t>Proposal 2—Ratification of Appointment of Ernst &amp; Young LLP as our Independent</w:t>
              </w:r>
            </w:hyperlink>
          </w:p>
        </w:tc>
        <w:tc>
          <w:tcPr>
            <w:tcW w:w="280" w:type="dxa"/>
            <w:vAlign w:val="bottom"/>
            <w:gridSpan w:val="3"/>
            <w:vMerge w:val="restart"/>
          </w:tcPr>
          <w:p>
            <w:pPr>
              <w:jc w:val="right"/>
              <w:spacing w:after="0"/>
              <w:rPr>
                <w:rFonts w:ascii="Arial" w:cs="Arial" w:eastAsia="Arial" w:hAnsi="Arial"/>
                <w:sz w:val="22"/>
                <w:szCs w:val="22"/>
                <w:b w:val="1"/>
                <w:bCs w:val="1"/>
                <w:color w:val="0000EE"/>
              </w:rPr>
            </w:pPr>
            <w:hyperlink w:anchor="page42">
              <w:r>
                <w:rPr>
                  <w:rFonts w:ascii="Arial" w:cs="Arial" w:eastAsia="Arial" w:hAnsi="Arial"/>
                  <w:sz w:val="22"/>
                  <w:szCs w:val="22"/>
                  <w:b w:val="1"/>
                  <w:bCs w:val="1"/>
                  <w:color w:val="0000EE"/>
                </w:rPr>
                <w:t>37</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8480" w:type="dxa"/>
            <w:vAlign w:val="bottom"/>
            <w:tcBorders>
              <w:top w:val="single" w:sz="8" w:color="0000EE"/>
            </w:tcBorders>
            <w:gridSpan w:val="15"/>
          </w:tcPr>
          <w:p>
            <w:pPr>
              <w:spacing w:after="0" w:line="223" w:lineRule="exact"/>
              <w:rPr>
                <w:rFonts w:ascii="Arial" w:cs="Arial" w:eastAsia="Arial" w:hAnsi="Arial"/>
                <w:sz w:val="22"/>
                <w:szCs w:val="22"/>
                <w:b w:val="1"/>
                <w:bCs w:val="1"/>
                <w:color w:val="0000EE"/>
                <w:w w:val="99"/>
              </w:rPr>
            </w:pPr>
            <w:hyperlink w:anchor="page42">
              <w:r>
                <w:rPr>
                  <w:rFonts w:ascii="Arial" w:cs="Arial" w:eastAsia="Arial" w:hAnsi="Arial"/>
                  <w:sz w:val="22"/>
                  <w:szCs w:val="22"/>
                  <w:b w:val="1"/>
                  <w:bCs w:val="1"/>
                  <w:color w:val="0000EE"/>
                  <w:w w:val="99"/>
                </w:rPr>
                <w:t>Registered Public Accounting Firm for the Fiscal Year Ending December 31, 2021</w:t>
              </w:r>
            </w:hyperlink>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980" w:type="dxa"/>
            <w:vAlign w:val="bottom"/>
            <w:gridSpan w:val="4"/>
            <w:shd w:val="clear" w:color="auto" w:fill="0000EE"/>
          </w:tcPr>
          <w:p>
            <w:pPr>
              <w:spacing w:after="0" w:line="20" w:lineRule="exact"/>
              <w:rPr>
                <w:sz w:val="1"/>
                <w:szCs w:val="1"/>
                <w:color w:val="auto"/>
              </w:rPr>
            </w:pPr>
          </w:p>
        </w:tc>
        <w:tc>
          <w:tcPr>
            <w:tcW w:w="3380" w:type="dxa"/>
            <w:vAlign w:val="bottom"/>
            <w:tcBorders>
              <w:left w:val="single" w:sz="8" w:color="0000EE"/>
            </w:tcBorders>
            <w:gridSpan w:val="8"/>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780" w:type="dxa"/>
            <w:vAlign w:val="bottom"/>
          </w:tcPr>
          <w:p>
            <w:pPr>
              <w:spacing w:after="0"/>
              <w:rPr>
                <w:sz w:val="24"/>
                <w:szCs w:val="24"/>
                <w:color w:val="auto"/>
              </w:rPr>
            </w:pPr>
          </w:p>
        </w:tc>
        <w:tc>
          <w:tcPr>
            <w:tcW w:w="9100" w:type="dxa"/>
            <w:vAlign w:val="bottom"/>
            <w:gridSpan w:val="18"/>
          </w:tcPr>
          <w:p>
            <w:pPr>
              <w:spacing w:after="0"/>
              <w:rPr>
                <w:rFonts w:ascii="Arial" w:cs="Arial" w:eastAsia="Arial" w:hAnsi="Arial"/>
                <w:sz w:val="22"/>
                <w:szCs w:val="22"/>
                <w:b w:val="1"/>
                <w:bCs w:val="1"/>
                <w:color w:val="0000EE"/>
              </w:rPr>
            </w:pPr>
            <w:hyperlink w:anchor="page43">
              <w:r>
                <w:rPr>
                  <w:rFonts w:ascii="Arial" w:cs="Arial" w:eastAsia="Arial" w:hAnsi="Arial"/>
                  <w:sz w:val="22"/>
                  <w:szCs w:val="22"/>
                  <w:b w:val="1"/>
                  <w:bCs w:val="1"/>
                  <w:color w:val="0000EE"/>
                </w:rPr>
                <w:t>Proposal 3—Advisory Approval of Our Executive Compensation for the Year Ended</w:t>
              </w:r>
            </w:hyperlink>
          </w:p>
        </w:tc>
        <w:tc>
          <w:tcPr>
            <w:tcW w:w="280" w:type="dxa"/>
            <w:vAlign w:val="bottom"/>
            <w:gridSpan w:val="3"/>
            <w:vMerge w:val="restart"/>
          </w:tcPr>
          <w:p>
            <w:pPr>
              <w:jc w:val="right"/>
              <w:spacing w:after="0"/>
              <w:rPr>
                <w:rFonts w:ascii="Arial" w:cs="Arial" w:eastAsia="Arial" w:hAnsi="Arial"/>
                <w:sz w:val="22"/>
                <w:szCs w:val="22"/>
                <w:b w:val="1"/>
                <w:bCs w:val="1"/>
                <w:color w:val="0000EE"/>
              </w:rPr>
            </w:pPr>
            <w:hyperlink w:anchor="page43">
              <w:r>
                <w:rPr>
                  <w:rFonts w:ascii="Arial" w:cs="Arial" w:eastAsia="Arial" w:hAnsi="Arial"/>
                  <w:sz w:val="22"/>
                  <w:szCs w:val="22"/>
                  <w:b w:val="1"/>
                  <w:bCs w:val="1"/>
                  <w:color w:val="0000EE"/>
                </w:rPr>
                <w:t>38</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1960" w:type="dxa"/>
            <w:vAlign w:val="bottom"/>
            <w:tcBorders>
              <w:top w:val="single" w:sz="8" w:color="0000EE"/>
            </w:tcBorders>
            <w:gridSpan w:val="2"/>
          </w:tcPr>
          <w:p>
            <w:pPr>
              <w:spacing w:after="0" w:line="223" w:lineRule="exact"/>
              <w:rPr>
                <w:rFonts w:ascii="Arial" w:cs="Arial" w:eastAsia="Arial" w:hAnsi="Arial"/>
                <w:sz w:val="22"/>
                <w:szCs w:val="22"/>
                <w:b w:val="1"/>
                <w:bCs w:val="1"/>
                <w:color w:val="0000EE"/>
                <w:w w:val="97"/>
              </w:rPr>
            </w:pPr>
            <w:hyperlink w:anchor="page43">
              <w:r>
                <w:rPr>
                  <w:rFonts w:ascii="Arial" w:cs="Arial" w:eastAsia="Arial" w:hAnsi="Arial"/>
                  <w:sz w:val="22"/>
                  <w:szCs w:val="22"/>
                  <w:b w:val="1"/>
                  <w:bCs w:val="1"/>
                  <w:color w:val="0000EE"/>
                  <w:w w:val="97"/>
                </w:rPr>
                <w:t>December 31, 2020</w:t>
              </w:r>
            </w:hyperlink>
          </w:p>
        </w:tc>
        <w:tc>
          <w:tcPr>
            <w:tcW w:w="6600" w:type="dxa"/>
            <w:vAlign w:val="bottom"/>
            <w:tcBorders>
              <w:top w:val="single" w:sz="8" w:color="0000EE"/>
            </w:tcBorders>
            <w:gridSpan w:val="14"/>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3760" w:type="dxa"/>
            <w:vAlign w:val="bottom"/>
            <w:gridSpan w:val="1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780" w:type="dxa"/>
            <w:vAlign w:val="bottom"/>
          </w:tcPr>
          <w:p>
            <w:pPr>
              <w:spacing w:after="0"/>
              <w:rPr>
                <w:sz w:val="24"/>
                <w:szCs w:val="24"/>
                <w:color w:val="auto"/>
              </w:rPr>
            </w:pPr>
          </w:p>
        </w:tc>
        <w:tc>
          <w:tcPr>
            <w:tcW w:w="9100" w:type="dxa"/>
            <w:vAlign w:val="bottom"/>
            <w:gridSpan w:val="18"/>
          </w:tcPr>
          <w:p>
            <w:pPr>
              <w:spacing w:after="0"/>
              <w:rPr>
                <w:rFonts w:ascii="Arial" w:cs="Arial" w:eastAsia="Arial" w:hAnsi="Arial"/>
                <w:sz w:val="22"/>
                <w:szCs w:val="22"/>
                <w:b w:val="1"/>
                <w:bCs w:val="1"/>
                <w:color w:val="0000EE"/>
              </w:rPr>
            </w:pPr>
            <w:hyperlink w:anchor="page44">
              <w:r>
                <w:rPr>
                  <w:rFonts w:ascii="Arial" w:cs="Arial" w:eastAsia="Arial" w:hAnsi="Arial"/>
                  <w:sz w:val="22"/>
                  <w:szCs w:val="22"/>
                  <w:b w:val="1"/>
                  <w:bCs w:val="1"/>
                  <w:color w:val="0000EE"/>
                </w:rPr>
                <w:t>Proposal 4—Advisory Approval of the Frequency of Holding an Advisory Vote on the</w:t>
              </w:r>
            </w:hyperlink>
          </w:p>
        </w:tc>
        <w:tc>
          <w:tcPr>
            <w:tcW w:w="280" w:type="dxa"/>
            <w:vAlign w:val="bottom"/>
            <w:gridSpan w:val="3"/>
            <w:vMerge w:val="restart"/>
          </w:tcPr>
          <w:p>
            <w:pPr>
              <w:jc w:val="right"/>
              <w:spacing w:after="0"/>
              <w:rPr>
                <w:rFonts w:ascii="Arial" w:cs="Arial" w:eastAsia="Arial" w:hAnsi="Arial"/>
                <w:sz w:val="22"/>
                <w:szCs w:val="22"/>
                <w:b w:val="1"/>
                <w:bCs w:val="1"/>
                <w:color w:val="0000EE"/>
              </w:rPr>
            </w:pPr>
            <w:hyperlink w:anchor="page44">
              <w:r>
                <w:rPr>
                  <w:rFonts w:ascii="Arial" w:cs="Arial" w:eastAsia="Arial" w:hAnsi="Arial"/>
                  <w:sz w:val="22"/>
                  <w:szCs w:val="22"/>
                  <w:b w:val="1"/>
                  <w:bCs w:val="1"/>
                  <w:color w:val="0000EE"/>
                </w:rPr>
                <w:t>39</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4940" w:type="dxa"/>
            <w:vAlign w:val="bottom"/>
            <w:tcBorders>
              <w:top w:val="single" w:sz="8" w:color="0000EE"/>
            </w:tcBorders>
            <w:gridSpan w:val="6"/>
          </w:tcPr>
          <w:p>
            <w:pPr>
              <w:spacing w:after="0" w:line="223" w:lineRule="exact"/>
              <w:rPr>
                <w:rFonts w:ascii="Arial" w:cs="Arial" w:eastAsia="Arial" w:hAnsi="Arial"/>
                <w:sz w:val="22"/>
                <w:szCs w:val="22"/>
                <w:b w:val="1"/>
                <w:bCs w:val="1"/>
                <w:color w:val="0000EE"/>
                <w:w w:val="97"/>
              </w:rPr>
            </w:pPr>
            <w:hyperlink w:anchor="page44">
              <w:r>
                <w:rPr>
                  <w:rFonts w:ascii="Arial" w:cs="Arial" w:eastAsia="Arial" w:hAnsi="Arial"/>
                  <w:sz w:val="22"/>
                  <w:szCs w:val="22"/>
                  <w:b w:val="1"/>
                  <w:bCs w:val="1"/>
                  <w:color w:val="0000EE"/>
                  <w:w w:val="97"/>
                </w:rPr>
                <w:t>Compensation of Our Named Executive Officers</w:t>
              </w:r>
            </w:hyperlink>
          </w:p>
        </w:tc>
        <w:tc>
          <w:tcPr>
            <w:tcW w:w="3760" w:type="dxa"/>
            <w:vAlign w:val="bottom"/>
            <w:tcBorders>
              <w:top w:val="single" w:sz="8" w:color="0000EE"/>
            </w:tcBorders>
            <w:gridSpan w:val="11"/>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540" w:type="dxa"/>
            <w:vAlign w:val="bottom"/>
            <w:gridSpan w:val="5"/>
            <w:shd w:val="clear" w:color="auto" w:fill="0000EE"/>
          </w:tcPr>
          <w:p>
            <w:pPr>
              <w:spacing w:after="0" w:line="20" w:lineRule="exact"/>
              <w:rPr>
                <w:sz w:val="1"/>
                <w:szCs w:val="1"/>
                <w:color w:val="auto"/>
              </w:rPr>
            </w:pPr>
          </w:p>
        </w:tc>
        <w:tc>
          <w:tcPr>
            <w:tcW w:w="4160" w:type="dxa"/>
            <w:vAlign w:val="bottom"/>
            <w:gridSpan w:val="1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780" w:type="dxa"/>
            <w:vAlign w:val="bottom"/>
          </w:tcPr>
          <w:p>
            <w:pPr>
              <w:spacing w:after="0"/>
              <w:rPr>
                <w:sz w:val="24"/>
                <w:szCs w:val="24"/>
                <w:color w:val="auto"/>
              </w:rPr>
            </w:pPr>
          </w:p>
        </w:tc>
        <w:tc>
          <w:tcPr>
            <w:tcW w:w="4940" w:type="dxa"/>
            <w:vAlign w:val="bottom"/>
            <w:gridSpan w:val="6"/>
          </w:tcPr>
          <w:p>
            <w:pPr>
              <w:spacing w:after="0"/>
              <w:rPr>
                <w:rFonts w:ascii="Arial" w:cs="Arial" w:eastAsia="Arial" w:hAnsi="Arial"/>
                <w:sz w:val="22"/>
                <w:szCs w:val="22"/>
                <w:b w:val="1"/>
                <w:bCs w:val="1"/>
                <w:color w:val="0000EE"/>
              </w:rPr>
            </w:pPr>
            <w:hyperlink w:anchor="page45">
              <w:r>
                <w:rPr>
                  <w:rFonts w:ascii="Arial" w:cs="Arial" w:eastAsia="Arial" w:hAnsi="Arial"/>
                  <w:sz w:val="22"/>
                  <w:szCs w:val="22"/>
                  <w:b w:val="1"/>
                  <w:bCs w:val="1"/>
                  <w:color w:val="0000EE"/>
                </w:rPr>
                <w:t>Other Matters</w:t>
              </w:r>
            </w:hyperlink>
          </w:p>
        </w:tc>
        <w:tc>
          <w:tcPr>
            <w:tcW w:w="4160" w:type="dxa"/>
            <w:vAlign w:val="bottom"/>
            <w:gridSpan w:val="12"/>
          </w:tcPr>
          <w:p>
            <w:pPr>
              <w:spacing w:after="0"/>
              <w:rPr>
                <w:sz w:val="24"/>
                <w:szCs w:val="24"/>
                <w:color w:val="auto"/>
              </w:rPr>
            </w:pPr>
          </w:p>
        </w:tc>
        <w:tc>
          <w:tcPr>
            <w:tcW w:w="280" w:type="dxa"/>
            <w:vAlign w:val="bottom"/>
            <w:gridSpan w:val="3"/>
          </w:tcPr>
          <w:p>
            <w:pPr>
              <w:jc w:val="right"/>
              <w:spacing w:after="0"/>
              <w:rPr>
                <w:rFonts w:ascii="Arial" w:cs="Arial" w:eastAsia="Arial" w:hAnsi="Arial"/>
                <w:sz w:val="22"/>
                <w:szCs w:val="22"/>
                <w:b w:val="1"/>
                <w:bCs w:val="1"/>
                <w:color w:val="0000EE"/>
              </w:rPr>
            </w:pPr>
            <w:hyperlink w:anchor="page45">
              <w:r>
                <w:rPr>
                  <w:rFonts w:ascii="Arial" w:cs="Arial" w:eastAsia="Arial" w:hAnsi="Arial"/>
                  <w:sz w:val="22"/>
                  <w:szCs w:val="22"/>
                  <w:b w:val="1"/>
                  <w:bCs w:val="1"/>
                  <w:color w:val="0000EE"/>
                </w:rPr>
                <w:t>40</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80" w:type="dxa"/>
            <w:vAlign w:val="bottom"/>
            <w:tcBorders>
              <w:bottom w:val="single" w:sz="8" w:color="auto"/>
            </w:tcBorders>
          </w:tcPr>
          <w:p>
            <w:pPr>
              <w:spacing w:after="0"/>
              <w:rPr>
                <w:sz w:val="24"/>
                <w:szCs w:val="24"/>
                <w:color w:val="auto"/>
              </w:rPr>
            </w:pPr>
          </w:p>
        </w:tc>
        <w:tc>
          <w:tcPr>
            <w:tcW w:w="140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5" w:name="page6"/>
    <w:bookmarkEnd w:id="5"/>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right="940"/>
        <w:spacing w:after="0" w:line="260" w:lineRule="auto"/>
        <w:rPr>
          <w:sz w:val="20"/>
          <w:szCs w:val="20"/>
          <w:color w:val="auto"/>
        </w:rPr>
      </w:pPr>
      <w:r>
        <w:rPr>
          <w:rFonts w:ascii="Arial" w:cs="Arial" w:eastAsia="Arial" w:hAnsi="Arial"/>
          <w:sz w:val="32"/>
          <w:szCs w:val="32"/>
          <w:color w:val="42B6E9"/>
        </w:rPr>
        <w:t>QUESTIONS AND ANSWERS ABOUT THIS PROXY MATERIAL AND VOTING</w:t>
      </w:r>
    </w:p>
    <w:p>
      <w:pPr>
        <w:spacing w:after="0" w:line="288"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42B6E9"/>
        </w:rPr>
        <w:t>Why am I receiving these materials?</w:t>
      </w:r>
    </w:p>
    <w:p>
      <w:pPr>
        <w:spacing w:after="0" w:line="5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These proxy materials are being provided because the Board of Directors (the “Board” or “Board of Directors”) of ContextLogic Inc.</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(“we,” “us,” “our,” the “Company,” “ContextLogic,” or “Wish”) is soliciting your proxy to vote at our 2021 Annual Meeting.</w:t>
      </w:r>
    </w:p>
    <w:p>
      <w:pPr>
        <w:spacing w:after="0" w:line="37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42B6E9"/>
        </w:rPr>
        <w:t>Why did I receive a Notice of Internet Availability of Proxy Materials in the mail instead of a printed set of proxy materials?</w:t>
      </w:r>
    </w:p>
    <w:p>
      <w:pPr>
        <w:spacing w:after="0" w:line="66" w:lineRule="exact"/>
        <w:rPr>
          <w:sz w:val="20"/>
          <w:szCs w:val="20"/>
          <w:color w:val="auto"/>
        </w:rPr>
      </w:pPr>
    </w:p>
    <w:p>
      <w:pPr>
        <w:ind w:left="720" w:right="740"/>
        <w:spacing w:after="0" w:line="249" w:lineRule="auto"/>
        <w:rPr>
          <w:sz w:val="20"/>
          <w:szCs w:val="20"/>
          <w:color w:val="auto"/>
        </w:rPr>
      </w:pPr>
      <w:r>
        <w:rPr>
          <w:rFonts w:ascii="Arial" w:cs="Arial" w:eastAsia="Arial" w:hAnsi="Arial"/>
          <w:sz w:val="16"/>
          <w:szCs w:val="16"/>
          <w:color w:val="auto"/>
        </w:rPr>
        <w:t xml:space="preserve">In accordance with rules adopted by the Securities and Exchange Commission (“SEC”), we may furnish our proxy materials over the Internet to our stockholders by delivering a Notice of Internet Availability of Proxy Materials (the “Notice”) in the mail instead of mailing printed copies of a full set of proxy materials. The Notice instructs you on how to access and review the Proxy Statement and Annual Report over the Internet at </w:t>
      </w:r>
      <w:r>
        <w:rPr>
          <w:rFonts w:ascii="Arial" w:cs="Arial" w:eastAsia="Arial" w:hAnsi="Arial"/>
          <w:sz w:val="16"/>
          <w:szCs w:val="16"/>
          <w:i w:val="1"/>
          <w:iCs w:val="1"/>
          <w:color w:val="auto"/>
        </w:rPr>
        <w:t>www.proxyvote.com</w:t>
      </w:r>
      <w:r>
        <w:rPr>
          <w:rFonts w:ascii="Arial" w:cs="Arial" w:eastAsia="Arial" w:hAnsi="Arial"/>
          <w:sz w:val="16"/>
          <w:szCs w:val="16"/>
          <w:color w:val="auto"/>
        </w:rPr>
        <w:t>. The Notice also instructs you on how to submit your proxy over the Internet and vote online at our Annual Meeting. If you would like to receive a printed copy of our proxy materials, please follow the instructions for requesting these materials contained in the Notice.</w:t>
      </w:r>
    </w:p>
    <w:p>
      <w:pPr>
        <w:spacing w:after="0" w:line="34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42B6E9"/>
        </w:rPr>
        <w:t>What is a virtual Annual Meeting?</w:t>
      </w:r>
    </w:p>
    <w:p>
      <w:pPr>
        <w:spacing w:after="0" w:line="66" w:lineRule="exact"/>
        <w:rPr>
          <w:sz w:val="20"/>
          <w:szCs w:val="20"/>
          <w:color w:val="auto"/>
        </w:rPr>
      </w:pPr>
    </w:p>
    <w:p>
      <w:pPr>
        <w:ind w:left="720" w:right="740"/>
        <w:spacing w:after="0" w:line="249" w:lineRule="auto"/>
        <w:rPr>
          <w:sz w:val="20"/>
          <w:szCs w:val="20"/>
          <w:color w:val="auto"/>
        </w:rPr>
      </w:pPr>
      <w:r>
        <w:rPr>
          <w:rFonts w:ascii="Arial" w:cs="Arial" w:eastAsia="Arial" w:hAnsi="Arial"/>
          <w:sz w:val="16"/>
          <w:szCs w:val="16"/>
          <w:color w:val="auto"/>
        </w:rPr>
        <w:t>The Annual Meeting will be conducted as a virtual meeting of stockholders by means of a live webcast. We believe that hosting a virtual meeting will provide an accessible stockholder experience, cost savings to our stockholders, and support the health of our stockholders and employees given the current public health impact of the coronavirus outbreak (“COVID-19”). You can virtually attend the Annual Meeting by visiting http://www.virtualshareholdermeeting.com/WISH2021, where you will be able to vote your shares and submit your questions during the meeting via the Internet. There will not be a physical meeting location and you will not be able to attend the Annual Meeting in person.</w:t>
      </w:r>
    </w:p>
    <w:p>
      <w:pPr>
        <w:spacing w:after="0" w:line="151" w:lineRule="exact"/>
        <w:rPr>
          <w:sz w:val="20"/>
          <w:szCs w:val="20"/>
          <w:color w:val="auto"/>
        </w:rPr>
      </w:pPr>
    </w:p>
    <w:p>
      <w:pPr>
        <w:ind w:left="720" w:right="740"/>
        <w:spacing w:after="0" w:line="251" w:lineRule="auto"/>
        <w:rPr>
          <w:sz w:val="20"/>
          <w:szCs w:val="20"/>
          <w:color w:val="auto"/>
        </w:rPr>
      </w:pPr>
      <w:r>
        <w:rPr>
          <w:rFonts w:ascii="Arial" w:cs="Arial" w:eastAsia="Arial" w:hAnsi="Arial"/>
          <w:sz w:val="16"/>
          <w:szCs w:val="16"/>
          <w:color w:val="auto"/>
        </w:rPr>
        <w:t>We invite you to virtually attend the Annual Meeting and request that you vote on the proposals described in this Proxy Statement. However, you do not need to attend the virtual meeting to vote your shares. Instead, you may vote by Internet, by telephone, or, if you have requested and received printed copies of the proxy materials by mail, you may also vote by completing and mailing in your proxy card.</w:t>
      </w:r>
    </w:p>
    <w:p>
      <w:pPr>
        <w:spacing w:after="0" w:line="148" w:lineRule="exact"/>
        <w:rPr>
          <w:sz w:val="20"/>
          <w:szCs w:val="20"/>
          <w:color w:val="auto"/>
        </w:rPr>
      </w:pPr>
    </w:p>
    <w:p>
      <w:pPr>
        <w:jc w:val="both"/>
        <w:ind w:left="720" w:right="820"/>
        <w:spacing w:after="0" w:line="253" w:lineRule="auto"/>
        <w:rPr>
          <w:sz w:val="20"/>
          <w:szCs w:val="20"/>
          <w:color w:val="auto"/>
        </w:rPr>
      </w:pPr>
      <w:r>
        <w:rPr>
          <w:rFonts w:ascii="Arial" w:cs="Arial" w:eastAsia="Arial" w:hAnsi="Arial"/>
          <w:sz w:val="16"/>
          <w:szCs w:val="16"/>
          <w:color w:val="auto"/>
        </w:rPr>
        <w:t>The Annual Meeting starts at 10 a.m. Pacific Daylight Time. We encourage you to access the meeting website prior to the start time to allow for check in. If you encounter any difficulties with accessing the virtual meeting at any point, please call the technical support number that will be posted on the virtual meeting log-in page.</w:t>
      </w:r>
    </w:p>
    <w:p>
      <w:pPr>
        <w:spacing w:after="0" w:line="147" w:lineRule="exact"/>
        <w:rPr>
          <w:sz w:val="20"/>
          <w:szCs w:val="20"/>
          <w:color w:val="auto"/>
        </w:rPr>
      </w:pPr>
    </w:p>
    <w:p>
      <w:pPr>
        <w:ind w:left="720" w:right="760"/>
        <w:spacing w:after="0" w:line="260" w:lineRule="auto"/>
        <w:rPr>
          <w:sz w:val="20"/>
          <w:szCs w:val="20"/>
          <w:color w:val="auto"/>
        </w:rPr>
      </w:pPr>
      <w:r>
        <w:rPr>
          <w:rFonts w:ascii="Arial" w:cs="Arial" w:eastAsia="Arial" w:hAnsi="Arial"/>
          <w:sz w:val="16"/>
          <w:szCs w:val="16"/>
          <w:color w:val="auto"/>
        </w:rPr>
        <w:t>You do not need to register to virtually attend the Annual Meeting webcast. Follow the instructions on your Notice or proxy card (if you requested and received a printed copy of the proxy materials) to access the Annual Meeting.</w:t>
      </w:r>
    </w:p>
    <w:p>
      <w:pPr>
        <w:spacing w:after="0" w:line="141" w:lineRule="exact"/>
        <w:rPr>
          <w:sz w:val="20"/>
          <w:szCs w:val="20"/>
          <w:color w:val="auto"/>
        </w:rPr>
      </w:pPr>
    </w:p>
    <w:p>
      <w:pPr>
        <w:ind w:left="720" w:right="800"/>
        <w:spacing w:after="0" w:line="251" w:lineRule="auto"/>
        <w:rPr>
          <w:sz w:val="20"/>
          <w:szCs w:val="20"/>
          <w:color w:val="auto"/>
        </w:rPr>
      </w:pPr>
      <w:r>
        <w:rPr>
          <w:rFonts w:ascii="Arial" w:cs="Arial" w:eastAsia="Arial" w:hAnsi="Arial"/>
          <w:sz w:val="16"/>
          <w:szCs w:val="16"/>
          <w:color w:val="auto"/>
        </w:rPr>
        <w:t>If you wish to submit a question on the day of the Annual Meeting, you may log in to the virtual meeting platform at http://www.virtualshareholdermeeting.com/WISH2021 and submit your question through the Q&amp;A tab. Questions pertinent to meeting matters will be answered during the Annual Meeting, subject to time constraints. Questions regarding personal matters, including those related to employment, are not pertinent to Annual Meeting matters and therefore, will not be answered.</w:t>
      </w:r>
    </w:p>
    <w:p>
      <w:pPr>
        <w:spacing w:after="0" w:line="358"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42B6E9"/>
        </w:rPr>
        <w:t>What am I voting on?</w:t>
      </w:r>
    </w:p>
    <w:p>
      <w:pPr>
        <w:spacing w:after="0" w:line="10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There are four matters scheduled for a vote:</w:t>
      </w:r>
    </w:p>
    <w:p>
      <w:pPr>
        <w:spacing w:after="0" w:line="167" w:lineRule="exact"/>
        <w:rPr>
          <w:sz w:val="20"/>
          <w:szCs w:val="20"/>
          <w:color w:val="auto"/>
        </w:rPr>
      </w:pPr>
    </w:p>
    <w:p>
      <w:pPr>
        <w:ind w:left="1000" w:right="1080" w:hanging="284"/>
        <w:spacing w:after="0" w:line="260" w:lineRule="auto"/>
        <w:tabs>
          <w:tab w:leader="none" w:pos="1000" w:val="left"/>
        </w:tabs>
        <w:numPr>
          <w:ilvl w:val="0"/>
          <w:numId w:val="5"/>
        </w:numPr>
        <w:rPr>
          <w:rFonts w:ascii="Arial" w:cs="Arial" w:eastAsia="Arial" w:hAnsi="Arial"/>
          <w:sz w:val="16"/>
          <w:szCs w:val="16"/>
          <w:color w:val="42B6E9"/>
        </w:rPr>
      </w:pPr>
      <w:r>
        <w:rPr>
          <w:rFonts w:ascii="Arial" w:cs="Arial" w:eastAsia="Arial" w:hAnsi="Arial"/>
          <w:sz w:val="16"/>
          <w:szCs w:val="16"/>
          <w:color w:val="auto"/>
        </w:rPr>
        <w:t>Election of all of our existing directors to serve until the 2022 Annual Meeting of Stockholders, who include Piotr Szulczewski, Julie Bradley, Ari Emanuel, Joe Lonsdale, Jacqueline Reses, Tanzeen Syed, Stephanie Tilenius, and Hans Tung;</w:t>
      </w:r>
    </w:p>
    <w:p>
      <w:pPr>
        <w:spacing w:after="0" w:line="141" w:lineRule="exact"/>
        <w:rPr>
          <w:rFonts w:ascii="Arial" w:cs="Arial" w:eastAsia="Arial" w:hAnsi="Arial"/>
          <w:sz w:val="16"/>
          <w:szCs w:val="16"/>
          <w:color w:val="42B6E9"/>
        </w:rPr>
      </w:pPr>
    </w:p>
    <w:p>
      <w:pPr>
        <w:ind w:left="1000" w:right="1160" w:hanging="284"/>
        <w:spacing w:after="0" w:line="260" w:lineRule="auto"/>
        <w:tabs>
          <w:tab w:leader="none" w:pos="1000" w:val="left"/>
        </w:tabs>
        <w:numPr>
          <w:ilvl w:val="0"/>
          <w:numId w:val="5"/>
        </w:numPr>
        <w:rPr>
          <w:rFonts w:ascii="Arial" w:cs="Arial" w:eastAsia="Arial" w:hAnsi="Arial"/>
          <w:sz w:val="16"/>
          <w:szCs w:val="16"/>
          <w:color w:val="42B6E9"/>
        </w:rPr>
      </w:pPr>
      <w:r>
        <w:rPr>
          <w:rFonts w:ascii="Arial" w:cs="Arial" w:eastAsia="Arial" w:hAnsi="Arial"/>
          <w:sz w:val="16"/>
          <w:szCs w:val="16"/>
          <w:color w:val="auto"/>
        </w:rPr>
        <w:t>Ratification of the appointment of Ernst &amp; Young LLP as our independent registered public accounting firm for the fiscal year ending December 31, 2021;</w:t>
      </w:r>
    </w:p>
    <w:p>
      <w:pPr>
        <w:spacing w:after="0" w:line="141" w:lineRule="exact"/>
        <w:rPr>
          <w:rFonts w:ascii="Arial" w:cs="Arial" w:eastAsia="Arial" w:hAnsi="Arial"/>
          <w:sz w:val="16"/>
          <w:szCs w:val="16"/>
          <w:color w:val="42B6E9"/>
        </w:rPr>
      </w:pPr>
    </w:p>
    <w:p>
      <w:pPr>
        <w:ind w:left="1000" w:hanging="284"/>
        <w:spacing w:after="0"/>
        <w:tabs>
          <w:tab w:leader="none" w:pos="1000" w:val="left"/>
        </w:tabs>
        <w:numPr>
          <w:ilvl w:val="0"/>
          <w:numId w:val="5"/>
        </w:numPr>
        <w:rPr>
          <w:rFonts w:ascii="Arial" w:cs="Arial" w:eastAsia="Arial" w:hAnsi="Arial"/>
          <w:sz w:val="16"/>
          <w:szCs w:val="16"/>
          <w:color w:val="42B6E9"/>
        </w:rPr>
      </w:pPr>
      <w:r>
        <w:rPr>
          <w:rFonts w:ascii="Arial" w:cs="Arial" w:eastAsia="Arial" w:hAnsi="Arial"/>
          <w:sz w:val="16"/>
          <w:szCs w:val="16"/>
          <w:color w:val="auto"/>
        </w:rPr>
        <w:t>To approve, on an advisory basis, our executive compensation for the year ended December 31, 2020, as disclosed herein; and</w:t>
      </w:r>
    </w:p>
    <w:p>
      <w:pPr>
        <w:spacing w:after="0" w:line="167" w:lineRule="exact"/>
        <w:rPr>
          <w:rFonts w:ascii="Arial" w:cs="Arial" w:eastAsia="Arial" w:hAnsi="Arial"/>
          <w:sz w:val="16"/>
          <w:szCs w:val="16"/>
          <w:color w:val="42B6E9"/>
        </w:rPr>
      </w:pPr>
    </w:p>
    <w:p>
      <w:pPr>
        <w:ind w:left="1000" w:right="1340" w:hanging="284"/>
        <w:spacing w:after="0" w:line="260" w:lineRule="auto"/>
        <w:tabs>
          <w:tab w:leader="none" w:pos="1000" w:val="left"/>
        </w:tabs>
        <w:numPr>
          <w:ilvl w:val="0"/>
          <w:numId w:val="5"/>
        </w:numPr>
        <w:rPr>
          <w:rFonts w:ascii="Arial" w:cs="Arial" w:eastAsia="Arial" w:hAnsi="Arial"/>
          <w:sz w:val="16"/>
          <w:szCs w:val="16"/>
          <w:color w:val="42B6E9"/>
        </w:rPr>
      </w:pPr>
      <w:r>
        <w:rPr>
          <w:rFonts w:ascii="Arial" w:cs="Arial" w:eastAsia="Arial" w:hAnsi="Arial"/>
          <w:sz w:val="16"/>
          <w:szCs w:val="16"/>
          <w:color w:val="auto"/>
        </w:rPr>
        <w:t>To approve, on an advisory basis, the frequency of holding an advisory vote on the compensation of our named executive officers.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60" w:type="dxa"/>
            <w:vAlign w:val="bottom"/>
          </w:tcPr>
          <w:p>
            <w:pPr>
              <w:ind w:left="4060"/>
              <w:spacing w:after="0"/>
              <w:rPr>
                <w:sz w:val="20"/>
                <w:szCs w:val="20"/>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tc>
        <w:tc>
          <w:tcPr>
            <w:tcW w:w="1060" w:type="dxa"/>
            <w:vAlign w:val="bottom"/>
          </w:tcPr>
          <w:p>
            <w:pPr>
              <w:jc w:val="right"/>
              <w:ind w:right="648"/>
              <w:spacing w:after="0"/>
              <w:rPr>
                <w:sz w:val="20"/>
                <w:szCs w:val="20"/>
                <w:color w:val="auto"/>
              </w:rPr>
            </w:pPr>
            <w:r>
              <w:rPr>
                <w:rFonts w:ascii="Arial" w:cs="Arial" w:eastAsia="Arial" w:hAnsi="Arial"/>
                <w:sz w:val="14"/>
                <w:szCs w:val="14"/>
                <w:b w:val="1"/>
                <w:bCs w:val="1"/>
                <w:color w:val="auto"/>
              </w:rPr>
              <w:t>1</w:t>
            </w:r>
          </w:p>
        </w:tc>
      </w:tr>
      <w:tr>
        <w:trPr>
          <w:trHeight w:val="167"/>
        </w:trPr>
        <w:tc>
          <w:tcPr>
            <w:tcW w:w="99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6" w:name="page7"/>
    <w:bookmarkEnd w:id="6"/>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right="200"/>
        <w:spacing w:after="0" w:line="260" w:lineRule="auto"/>
        <w:rPr>
          <w:sz w:val="20"/>
          <w:szCs w:val="20"/>
          <w:color w:val="auto"/>
        </w:rPr>
      </w:pPr>
      <w:r>
        <w:rPr>
          <w:rFonts w:ascii="Arial" w:cs="Arial" w:eastAsia="Arial" w:hAnsi="Arial"/>
          <w:sz w:val="32"/>
          <w:szCs w:val="32"/>
          <w:color w:val="42B6E9"/>
        </w:rPr>
        <w:t>QUESTIONS AND ANSWERS ABOUT THIS PROXY MATERIAL AND VOTING (continued)</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42B6E9"/>
        </w:rPr>
        <w:t>How does the Board of Directors recommend I vote on these proposals?</w:t>
      </w:r>
    </w:p>
    <w:p>
      <w:pPr>
        <w:spacing w:after="0" w:line="106"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Board of Directors recommends the following votes:</w:t>
      </w:r>
    </w:p>
    <w:p>
      <w:pPr>
        <w:spacing w:after="0" w:line="167" w:lineRule="exact"/>
        <w:rPr>
          <w:sz w:val="20"/>
          <w:szCs w:val="20"/>
          <w:color w:val="auto"/>
        </w:rPr>
      </w:pPr>
    </w:p>
    <w:p>
      <w:pPr>
        <w:ind w:left="644" w:hanging="284"/>
        <w:spacing w:after="0"/>
        <w:tabs>
          <w:tab w:leader="none" w:pos="644" w:val="left"/>
        </w:tabs>
        <w:numPr>
          <w:ilvl w:val="0"/>
          <w:numId w:val="6"/>
        </w:numPr>
        <w:rPr>
          <w:rFonts w:ascii="Arial" w:cs="Arial" w:eastAsia="Arial" w:hAnsi="Arial"/>
          <w:sz w:val="16"/>
          <w:szCs w:val="16"/>
          <w:color w:val="42B6E9"/>
        </w:rPr>
      </w:pPr>
      <w:r>
        <w:rPr>
          <w:rFonts w:ascii="Arial" w:cs="Arial" w:eastAsia="Arial" w:hAnsi="Arial"/>
          <w:sz w:val="16"/>
          <w:szCs w:val="16"/>
          <w:color w:val="auto"/>
        </w:rPr>
        <w:t>“FOR” the election of each director nominee;</w:t>
      </w:r>
    </w:p>
    <w:p>
      <w:pPr>
        <w:spacing w:after="0" w:line="167" w:lineRule="exact"/>
        <w:rPr>
          <w:rFonts w:ascii="Arial" w:cs="Arial" w:eastAsia="Arial" w:hAnsi="Arial"/>
          <w:sz w:val="16"/>
          <w:szCs w:val="16"/>
          <w:color w:val="42B6E9"/>
        </w:rPr>
      </w:pPr>
    </w:p>
    <w:p>
      <w:pPr>
        <w:ind w:left="644" w:right="120" w:hanging="284"/>
        <w:spacing w:after="0" w:line="260" w:lineRule="auto"/>
        <w:tabs>
          <w:tab w:leader="none" w:pos="644" w:val="left"/>
        </w:tabs>
        <w:numPr>
          <w:ilvl w:val="0"/>
          <w:numId w:val="6"/>
        </w:numPr>
        <w:rPr>
          <w:rFonts w:ascii="Arial" w:cs="Arial" w:eastAsia="Arial" w:hAnsi="Arial"/>
          <w:sz w:val="16"/>
          <w:szCs w:val="16"/>
          <w:color w:val="42B6E9"/>
        </w:rPr>
      </w:pPr>
      <w:r>
        <w:rPr>
          <w:rFonts w:ascii="Arial" w:cs="Arial" w:eastAsia="Arial" w:hAnsi="Arial"/>
          <w:sz w:val="16"/>
          <w:szCs w:val="16"/>
          <w:color w:val="auto"/>
        </w:rPr>
        <w:t>“FOR” the ratification of the appointment of Ernst &amp; Young LLP as our independent registered public accounting firm for the fiscal year ending December 31, 2021;</w:t>
      </w:r>
    </w:p>
    <w:p>
      <w:pPr>
        <w:spacing w:after="0" w:line="141" w:lineRule="exact"/>
        <w:rPr>
          <w:rFonts w:ascii="Arial" w:cs="Arial" w:eastAsia="Arial" w:hAnsi="Arial"/>
          <w:sz w:val="16"/>
          <w:szCs w:val="16"/>
          <w:color w:val="42B6E9"/>
        </w:rPr>
      </w:pPr>
    </w:p>
    <w:p>
      <w:pPr>
        <w:ind w:left="644" w:hanging="284"/>
        <w:spacing w:after="0"/>
        <w:tabs>
          <w:tab w:leader="none" w:pos="644" w:val="left"/>
        </w:tabs>
        <w:numPr>
          <w:ilvl w:val="0"/>
          <w:numId w:val="6"/>
        </w:numPr>
        <w:rPr>
          <w:rFonts w:ascii="Arial" w:cs="Arial" w:eastAsia="Arial" w:hAnsi="Arial"/>
          <w:sz w:val="16"/>
          <w:szCs w:val="16"/>
          <w:color w:val="42B6E9"/>
        </w:rPr>
      </w:pPr>
      <w:r>
        <w:rPr>
          <w:rFonts w:ascii="Arial" w:cs="Arial" w:eastAsia="Arial" w:hAnsi="Arial"/>
          <w:sz w:val="16"/>
          <w:szCs w:val="16"/>
          <w:color w:val="auto"/>
        </w:rPr>
        <w:t>“FOR” our executive compensation for the year ended December 31, 2020; and</w:t>
      </w:r>
    </w:p>
    <w:p>
      <w:pPr>
        <w:spacing w:after="0" w:line="167" w:lineRule="exact"/>
        <w:rPr>
          <w:rFonts w:ascii="Arial" w:cs="Arial" w:eastAsia="Arial" w:hAnsi="Arial"/>
          <w:sz w:val="16"/>
          <w:szCs w:val="16"/>
          <w:color w:val="42B6E9"/>
        </w:rPr>
      </w:pPr>
    </w:p>
    <w:p>
      <w:pPr>
        <w:ind w:left="644" w:hanging="284"/>
        <w:spacing w:after="0"/>
        <w:tabs>
          <w:tab w:leader="none" w:pos="644" w:val="left"/>
        </w:tabs>
        <w:numPr>
          <w:ilvl w:val="0"/>
          <w:numId w:val="6"/>
        </w:numPr>
        <w:rPr>
          <w:rFonts w:ascii="Arial" w:cs="Arial" w:eastAsia="Arial" w:hAnsi="Arial"/>
          <w:sz w:val="16"/>
          <w:szCs w:val="16"/>
          <w:color w:val="42B6E9"/>
        </w:rPr>
      </w:pPr>
      <w:r>
        <w:rPr>
          <w:rFonts w:ascii="Arial" w:cs="Arial" w:eastAsia="Arial" w:hAnsi="Arial"/>
          <w:sz w:val="16"/>
          <w:szCs w:val="16"/>
          <w:color w:val="auto"/>
        </w:rPr>
        <w:t>“FOR” the frequency of holding an advisory vote on the compensation of our named executive officers every “1 YEAR.”</w:t>
      </w:r>
    </w:p>
    <w:p>
      <w:pPr>
        <w:spacing w:after="0" w:line="36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42B6E9"/>
        </w:rPr>
        <w:t>Who can vote at the Annual Meeting?</w:t>
      </w:r>
    </w:p>
    <w:p>
      <w:pPr>
        <w:spacing w:after="0" w:line="66" w:lineRule="exact"/>
        <w:rPr>
          <w:sz w:val="20"/>
          <w:szCs w:val="20"/>
          <w:color w:val="auto"/>
        </w:rPr>
      </w:pPr>
    </w:p>
    <w:p>
      <w:pPr>
        <w:ind w:left="4"/>
        <w:spacing w:after="0" w:line="250" w:lineRule="auto"/>
        <w:rPr>
          <w:sz w:val="20"/>
          <w:szCs w:val="20"/>
          <w:color w:val="auto"/>
        </w:rPr>
      </w:pPr>
      <w:r>
        <w:rPr>
          <w:rFonts w:ascii="Arial" w:cs="Arial" w:eastAsia="Arial" w:hAnsi="Arial"/>
          <w:sz w:val="16"/>
          <w:szCs w:val="16"/>
          <w:color w:val="auto"/>
        </w:rPr>
        <w:t>Only stockholders of record at the close of business on April 12, 2021 will be entitled to vote at the Annual Meeting. On this record date, there were 504,180,875 shares of the Company’s Class A common stock (“Class A Common Stock”) and 114,802,497 shares of the Company’s Class B common stock (“Class B Common Stock”) outstanding. Each holder of our Class A Common Stock has the right to one vote for each share of Class A Common Stock held as of the record date, and each holder of our Class B Common Stock has the right to 20 votes for each share of Class B Common Stock held as of the record date.</w:t>
      </w:r>
    </w:p>
    <w:p>
      <w:pPr>
        <w:spacing w:after="0" w:line="133" w:lineRule="exact"/>
        <w:rPr>
          <w:sz w:val="20"/>
          <w:szCs w:val="20"/>
          <w:color w:val="auto"/>
        </w:rPr>
      </w:pPr>
    </w:p>
    <w:p>
      <w:pPr>
        <w:ind w:left="4" w:right="40"/>
        <w:spacing w:after="0" w:line="255" w:lineRule="auto"/>
        <w:rPr>
          <w:sz w:val="20"/>
          <w:szCs w:val="20"/>
          <w:color w:val="auto"/>
        </w:rPr>
      </w:pPr>
      <w:r>
        <w:rPr>
          <w:rFonts w:ascii="Arial" w:cs="Arial" w:eastAsia="Arial" w:hAnsi="Arial"/>
          <w:sz w:val="16"/>
          <w:szCs w:val="16"/>
          <w:i w:val="1"/>
          <w:iCs w:val="1"/>
          <w:color w:val="auto"/>
        </w:rPr>
        <w:t>Registered Stockholders</w:t>
      </w:r>
      <w:r>
        <w:rPr>
          <w:rFonts w:ascii="Arial" w:cs="Arial" w:eastAsia="Arial" w:hAnsi="Arial"/>
          <w:sz w:val="16"/>
          <w:szCs w:val="16"/>
          <w:color w:val="auto"/>
        </w:rPr>
        <w:t>. If shares of our common stock are registered directly in your name with our transfer agent, American Stock</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&amp; Trust Company, then you are considered the stockholder of record with respect to those shares, and the Notice was provided to you directly by us. As the stockholder of record, you have the right to grant your voting proxy directly to the individuals listed on the proxy card or to vote electronically at the Annual Meeting. Throughout this Proxy Statement, we refer to these registered stockholders as “stockholders of record.”</w:t>
      </w:r>
    </w:p>
    <w:p>
      <w:pPr>
        <w:spacing w:after="0" w:line="130" w:lineRule="exact"/>
        <w:rPr>
          <w:sz w:val="20"/>
          <w:szCs w:val="20"/>
          <w:color w:val="auto"/>
        </w:rPr>
      </w:pPr>
    </w:p>
    <w:p>
      <w:pPr>
        <w:ind w:left="4"/>
        <w:spacing w:after="0" w:line="250" w:lineRule="auto"/>
        <w:rPr>
          <w:sz w:val="20"/>
          <w:szCs w:val="20"/>
          <w:color w:val="auto"/>
        </w:rPr>
      </w:pPr>
      <w:r>
        <w:rPr>
          <w:rFonts w:ascii="Arial" w:cs="Arial" w:eastAsia="Arial" w:hAnsi="Arial"/>
          <w:sz w:val="16"/>
          <w:szCs w:val="16"/>
          <w:i w:val="1"/>
          <w:iCs w:val="1"/>
          <w:color w:val="auto"/>
        </w:rPr>
        <w:t>Street Name Stockholders</w:t>
      </w:r>
      <w:r>
        <w:rPr>
          <w:rFonts w:ascii="Arial" w:cs="Arial" w:eastAsia="Arial" w:hAnsi="Arial"/>
          <w:sz w:val="16"/>
          <w:szCs w:val="16"/>
          <w:color w:val="auto"/>
        </w:rPr>
        <w:t>. If shares of our common stock are held on your behalf in a brokerage account or by a bank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nominee, then you are considered to be the beneficial owner of shares that are held in “street name” or a street name stockholder and the Notice was forwarded to you by your broker or nominee, who is considered the stockholder of record with respect to those shares. As the beneficial owner, you have the right to direct your broker, bank, or other nominee as to how to vote your shares. Beneficial owners are also invited to attend the Annual Meeting. However, since a beneficial owner is not the stockholder of record, you may not virtually attend the Annual Meeting and vote electronically at the Annual Meeting unless you follow your broker’ s procedures for obtaining a legal proxy. If you have requested a printed copy of our proxy materials by mail, your broker, bank, or other nominee will provide a voting instruction form for you to use. Throughout this Proxy Statement, we refer to stockholders who hold their shares through a broker, bank, or other nominee as “street name stockholders.”</w:t>
      </w:r>
    </w:p>
    <w:p>
      <w:pPr>
        <w:spacing w:after="0" w:line="35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42B6E9"/>
        </w:rPr>
        <w:t>How do I vote?</w:t>
      </w:r>
    </w:p>
    <w:p>
      <w:pPr>
        <w:spacing w:after="0" w:line="66" w:lineRule="exact"/>
        <w:rPr>
          <w:sz w:val="20"/>
          <w:szCs w:val="20"/>
          <w:color w:val="auto"/>
        </w:rPr>
      </w:pPr>
    </w:p>
    <w:p>
      <w:pPr>
        <w:ind w:left="4" w:right="20"/>
        <w:spacing w:after="0" w:line="250" w:lineRule="auto"/>
        <w:rPr>
          <w:sz w:val="20"/>
          <w:szCs w:val="20"/>
          <w:color w:val="auto"/>
        </w:rPr>
      </w:pPr>
      <w:r>
        <w:rPr>
          <w:rFonts w:ascii="Arial" w:cs="Arial" w:eastAsia="Arial" w:hAnsi="Arial"/>
          <w:sz w:val="16"/>
          <w:szCs w:val="16"/>
          <w:color w:val="auto"/>
        </w:rPr>
        <w:t>If on April 12, 2021, your shares were registered directly in your name with our transfer agent, American Stock Transfer &amp; Trust Company, then you are a stockholder of record. Stockholders of record may vote by using the Internet, by telephone, or (if you have received a proxy card by mail) by mail as described below. Stockholders may also attend the virtual meeting and vote electronically. If you hold shares through a bank or broker, please refer to your proxy card, Notice, or other information forwarded by your bank or broker to see which voting options are available to you.</w:t>
      </w:r>
    </w:p>
    <w:p>
      <w:pPr>
        <w:spacing w:after="0" w:line="133" w:lineRule="exact"/>
        <w:rPr>
          <w:sz w:val="20"/>
          <w:szCs w:val="20"/>
          <w:color w:val="auto"/>
        </w:rPr>
      </w:pPr>
    </w:p>
    <w:p>
      <w:pPr>
        <w:jc w:val="both"/>
        <w:ind w:left="284" w:right="200" w:hanging="284"/>
        <w:spacing w:after="0" w:line="258" w:lineRule="auto"/>
        <w:tabs>
          <w:tab w:leader="none" w:pos="284" w:val="left"/>
        </w:tabs>
        <w:numPr>
          <w:ilvl w:val="0"/>
          <w:numId w:val="7"/>
        </w:numPr>
        <w:rPr>
          <w:rFonts w:ascii="Arial" w:cs="Arial" w:eastAsia="Arial" w:hAnsi="Arial"/>
          <w:sz w:val="16"/>
          <w:szCs w:val="16"/>
          <w:color w:val="42B6E9"/>
        </w:rPr>
      </w:pPr>
      <w:r>
        <w:rPr>
          <w:rFonts w:ascii="Arial" w:cs="Arial" w:eastAsia="Arial" w:hAnsi="Arial"/>
          <w:sz w:val="16"/>
          <w:szCs w:val="16"/>
          <w:color w:val="auto"/>
        </w:rPr>
        <w:t xml:space="preserve">You may vote via the Internet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by following the instructions for Internet voting on the Notice or proxy card mailed to you. Internet voting is available 24 hours a day and will be accessible until 11:59 p.m. Eastern Time on June 7, 2021. Easy-to-follow instructions are available to allow you to vote your shares and confirm that your instructions have been properly recorded.</w:t>
      </w:r>
    </w:p>
    <w:p>
      <w:pPr>
        <w:spacing w:after="0" w:line="142" w:lineRule="exact"/>
        <w:rPr>
          <w:rFonts w:ascii="Arial" w:cs="Arial" w:eastAsia="Arial" w:hAnsi="Arial"/>
          <w:sz w:val="16"/>
          <w:szCs w:val="16"/>
          <w:color w:val="42B6E9"/>
        </w:rPr>
      </w:pPr>
    </w:p>
    <w:p>
      <w:pPr>
        <w:jc w:val="both"/>
        <w:ind w:left="284" w:right="20" w:hanging="284"/>
        <w:spacing w:after="0" w:line="251" w:lineRule="auto"/>
        <w:tabs>
          <w:tab w:leader="none" w:pos="284" w:val="left"/>
        </w:tabs>
        <w:numPr>
          <w:ilvl w:val="0"/>
          <w:numId w:val="7"/>
        </w:numPr>
        <w:rPr>
          <w:rFonts w:ascii="Arial" w:cs="Arial" w:eastAsia="Arial" w:hAnsi="Arial"/>
          <w:sz w:val="16"/>
          <w:szCs w:val="16"/>
          <w:color w:val="42B6E9"/>
        </w:rPr>
      </w:pPr>
      <w:r>
        <w:rPr>
          <w:rFonts w:ascii="Arial" w:cs="Arial" w:eastAsia="Arial" w:hAnsi="Arial"/>
          <w:sz w:val="16"/>
          <w:szCs w:val="16"/>
          <w:color w:val="auto"/>
        </w:rPr>
        <w:t>You may vote by telephone by dialing 800-690-6903 and following the instructions for voting by phone on the Notice or proxy card mailed to you. Telephone voting is available 24 hours a day and will be accessible until 11:59 p.m. Eastern Time on June 7, 2021. Easy-to-follow voice prompts are available to allow you to vote your shares and confirm that your instructions have been properly recorded.</w:t>
      </w:r>
    </w:p>
    <w:p>
      <w:pPr>
        <w:spacing w:after="0" w:line="148" w:lineRule="exact"/>
        <w:rPr>
          <w:rFonts w:ascii="Arial" w:cs="Arial" w:eastAsia="Arial" w:hAnsi="Arial"/>
          <w:sz w:val="16"/>
          <w:szCs w:val="16"/>
          <w:color w:val="42B6E9"/>
        </w:rPr>
      </w:pPr>
    </w:p>
    <w:p>
      <w:pPr>
        <w:ind w:left="284" w:right="300" w:hanging="284"/>
        <w:spacing w:after="0" w:line="260" w:lineRule="auto"/>
        <w:tabs>
          <w:tab w:leader="none" w:pos="284" w:val="left"/>
        </w:tabs>
        <w:numPr>
          <w:ilvl w:val="0"/>
          <w:numId w:val="7"/>
        </w:numPr>
        <w:rPr>
          <w:rFonts w:ascii="Arial" w:cs="Arial" w:eastAsia="Arial" w:hAnsi="Arial"/>
          <w:sz w:val="16"/>
          <w:szCs w:val="16"/>
          <w:color w:val="42B6E9"/>
        </w:rPr>
      </w:pPr>
      <w:r>
        <w:rPr>
          <w:rFonts w:ascii="Arial" w:cs="Arial" w:eastAsia="Arial" w:hAnsi="Arial"/>
          <w:sz w:val="16"/>
          <w:szCs w:val="16"/>
          <w:color w:val="auto"/>
        </w:rPr>
        <w:t>You may vote by mail by requesting, completing, and mailing in a paper proxy card, as outlined in the Notice. The method you use to vote will not limit your right to vote at the Annual Meeting if you decide to virtually attend the Annual Meeting.</w:t>
      </w:r>
    </w:p>
    <w:p>
      <w:pPr>
        <w:spacing w:after="0" w:line="180" w:lineRule="exact"/>
        <w:rPr>
          <w:sz w:val="20"/>
          <w:szCs w:val="20"/>
          <w:color w:val="auto"/>
        </w:rPr>
      </w:pPr>
    </w:p>
    <w:p>
      <w:pPr>
        <w:ind w:left="544" w:hanging="544"/>
        <w:spacing w:after="0"/>
        <w:tabs>
          <w:tab w:leader="none" w:pos="544"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7" w:name="page8"/>
    <w:bookmarkEnd w:id="7"/>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right="940"/>
        <w:spacing w:after="0" w:line="260" w:lineRule="auto"/>
        <w:rPr>
          <w:sz w:val="20"/>
          <w:szCs w:val="20"/>
          <w:color w:val="auto"/>
        </w:rPr>
      </w:pPr>
      <w:r>
        <w:rPr>
          <w:rFonts w:ascii="Arial" w:cs="Arial" w:eastAsia="Arial" w:hAnsi="Arial"/>
          <w:sz w:val="32"/>
          <w:szCs w:val="32"/>
          <w:color w:val="42B6E9"/>
        </w:rPr>
        <w:t>QUESTIONS AND ANSWERS ABOUT THIS PROXY MATERIAL AND VOTING (continued)</w:t>
      </w:r>
    </w:p>
    <w:p>
      <w:pPr>
        <w:spacing w:after="0" w:line="335" w:lineRule="exact"/>
        <w:rPr>
          <w:sz w:val="20"/>
          <w:szCs w:val="20"/>
          <w:color w:val="auto"/>
        </w:rPr>
      </w:pPr>
    </w:p>
    <w:p>
      <w:pPr>
        <w:ind w:left="1000" w:right="900" w:hanging="284"/>
        <w:spacing w:after="0" w:line="260" w:lineRule="auto"/>
        <w:tabs>
          <w:tab w:leader="none" w:pos="1000" w:val="left"/>
        </w:tabs>
        <w:numPr>
          <w:ilvl w:val="0"/>
          <w:numId w:val="9"/>
        </w:numPr>
        <w:rPr>
          <w:rFonts w:ascii="Arial" w:cs="Arial" w:eastAsia="Arial" w:hAnsi="Arial"/>
          <w:sz w:val="16"/>
          <w:szCs w:val="16"/>
          <w:color w:val="42B6E9"/>
        </w:rPr>
      </w:pPr>
      <w:r>
        <w:rPr>
          <w:rFonts w:ascii="Arial" w:cs="Arial" w:eastAsia="Arial" w:hAnsi="Arial"/>
          <w:sz w:val="16"/>
          <w:szCs w:val="16"/>
          <w:color w:val="auto"/>
        </w:rPr>
        <w:t>If you wish to vote electronically at the meeting, go to www.virtualshareholdermeeting.com/WISH2021 using your unique control number included in the proxy materials mailed to you.</w:t>
      </w:r>
    </w:p>
    <w:p>
      <w:pPr>
        <w:spacing w:after="0" w:line="29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42B6E9"/>
        </w:rPr>
        <w:t>What if I return a proxy card but do not make specific choices?</w:t>
      </w:r>
    </w:p>
    <w:p>
      <w:pPr>
        <w:spacing w:after="0" w:line="46" w:lineRule="exact"/>
        <w:rPr>
          <w:sz w:val="20"/>
          <w:szCs w:val="20"/>
          <w:color w:val="auto"/>
        </w:rPr>
      </w:pPr>
    </w:p>
    <w:p>
      <w:pPr>
        <w:ind w:left="720" w:right="760"/>
        <w:spacing w:after="0" w:line="251" w:lineRule="auto"/>
        <w:rPr>
          <w:sz w:val="20"/>
          <w:szCs w:val="20"/>
          <w:color w:val="auto"/>
        </w:rPr>
      </w:pPr>
      <w:r>
        <w:rPr>
          <w:rFonts w:ascii="Arial" w:cs="Arial" w:eastAsia="Arial" w:hAnsi="Arial"/>
          <w:sz w:val="16"/>
          <w:szCs w:val="16"/>
          <w:color w:val="auto"/>
        </w:rPr>
        <w:t>If you return a signed and dated proxy card without marking any voting selections, your shares will be voted (i) “</w:t>
      </w:r>
      <w:r>
        <w:rPr>
          <w:rFonts w:ascii="Arial" w:cs="Arial" w:eastAsia="Arial" w:hAnsi="Arial"/>
          <w:sz w:val="16"/>
          <w:szCs w:val="16"/>
          <w:b w:val="1"/>
          <w:bCs w:val="1"/>
          <w:color w:val="auto"/>
        </w:rPr>
        <w:t>For</w:t>
      </w:r>
      <w:r>
        <w:rPr>
          <w:rFonts w:ascii="Arial" w:cs="Arial" w:eastAsia="Arial" w:hAnsi="Arial"/>
          <w:sz w:val="16"/>
          <w:szCs w:val="16"/>
          <w:color w:val="auto"/>
        </w:rPr>
        <w:t>” the election of all nine of your Board of Directors’ nominees for director, (ii) “</w:t>
      </w:r>
      <w:r>
        <w:rPr>
          <w:rFonts w:ascii="Arial" w:cs="Arial" w:eastAsia="Arial" w:hAnsi="Arial"/>
          <w:sz w:val="16"/>
          <w:szCs w:val="16"/>
          <w:b w:val="1"/>
          <w:bCs w:val="1"/>
          <w:color w:val="auto"/>
        </w:rPr>
        <w:t>For</w:t>
      </w:r>
      <w:r>
        <w:rPr>
          <w:rFonts w:ascii="Arial" w:cs="Arial" w:eastAsia="Arial" w:hAnsi="Arial"/>
          <w:sz w:val="16"/>
          <w:szCs w:val="16"/>
          <w:color w:val="auto"/>
        </w:rPr>
        <w:t>” the ratification of the appointment of Ernst &amp; Young LLP as our independent registered public accounting firm for the fiscal year ending December 31, 2021, (iii)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advisory approval of our Company’s executive compensation for the year ended December 31, 2020, and (iv) “ </w:t>
      </w:r>
      <w:r>
        <w:rPr>
          <w:rFonts w:ascii="Arial" w:cs="Arial" w:eastAsia="Arial" w:hAnsi="Arial"/>
          <w:sz w:val="16"/>
          <w:szCs w:val="16"/>
          <w:b w:val="1"/>
          <w:bCs w:val="1"/>
          <w:color w:val="auto"/>
        </w:rPr>
        <w:t>For</w:t>
      </w:r>
      <w:r>
        <w:rPr>
          <w:rFonts w:ascii="Arial" w:cs="Arial" w:eastAsia="Arial" w:hAnsi="Arial"/>
          <w:sz w:val="16"/>
          <w:szCs w:val="16"/>
          <w:color w:val="auto"/>
        </w:rPr>
        <w:t>” a frequency of the advisory vote on our Company’s executive compensation of one year, as disclosed herein. However, if you are not a record holder, and your shares are held instead through a broker, nominee, fiduciary, or other custodian, you must provide voting instructions to the record holder of the shares in accordance with the record holder’s requirements in order for your shares to be properly voted. If any other matter is properly presented at the meeting, your proxy (one of the individuals named on your proxy card) will vote your shares using his or her best judgment.</w:t>
      </w:r>
    </w:p>
    <w:p>
      <w:pPr>
        <w:spacing w:after="0" w:line="30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42B6E9"/>
        </w:rPr>
        <w:t>Who is paying for this proxy solicitation?</w:t>
      </w:r>
    </w:p>
    <w:p>
      <w:pPr>
        <w:spacing w:after="0" w:line="66" w:lineRule="exact"/>
        <w:rPr>
          <w:sz w:val="20"/>
          <w:szCs w:val="20"/>
          <w:color w:val="auto"/>
        </w:rPr>
      </w:pPr>
    </w:p>
    <w:p>
      <w:pPr>
        <w:ind w:left="720" w:right="820"/>
        <w:spacing w:after="0" w:line="251" w:lineRule="auto"/>
        <w:rPr>
          <w:sz w:val="20"/>
          <w:szCs w:val="20"/>
          <w:color w:val="auto"/>
        </w:rPr>
      </w:pPr>
      <w:r>
        <w:rPr>
          <w:rFonts w:ascii="Arial" w:cs="Arial" w:eastAsia="Arial" w:hAnsi="Arial"/>
          <w:sz w:val="16"/>
          <w:szCs w:val="16"/>
          <w:color w:val="auto"/>
        </w:rPr>
        <w:t>We will pay for the entire cost of soliciting proxies. In addition to these mailed proxy materials, our directors and employees may also solicit proxies in person, by telephone, or by other means of communication. Directors and employees will not be paid any additional compensation for soliciting proxies. We may reimburse brokerage firms, banks, and other agents for the cost of forwarding proxy materials to beneficial owners.</w:t>
      </w:r>
    </w:p>
    <w:p>
      <w:pPr>
        <w:spacing w:after="0" w:line="304"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42B6E9"/>
        </w:rPr>
        <w:t>What does it mean if I receive more than one proxy card or Notice?</w:t>
      </w:r>
    </w:p>
    <w:p>
      <w:pPr>
        <w:spacing w:after="0" w:line="66" w:lineRule="exact"/>
        <w:rPr>
          <w:sz w:val="20"/>
          <w:szCs w:val="20"/>
          <w:color w:val="auto"/>
        </w:rPr>
      </w:pPr>
    </w:p>
    <w:p>
      <w:pPr>
        <w:ind w:left="720" w:right="880"/>
        <w:spacing w:after="0" w:line="253" w:lineRule="auto"/>
        <w:rPr>
          <w:sz w:val="20"/>
          <w:szCs w:val="20"/>
          <w:color w:val="auto"/>
        </w:rPr>
      </w:pPr>
      <w:r>
        <w:rPr>
          <w:rFonts w:ascii="Arial" w:cs="Arial" w:eastAsia="Arial" w:hAnsi="Arial"/>
          <w:sz w:val="16"/>
          <w:szCs w:val="16"/>
          <w:color w:val="auto"/>
        </w:rPr>
        <w:t xml:space="preserve">If you receive more than one proxy card or Notice, your shares are registered in more than one name or are registered in different accounts. Please complete, sign, and return </w:t>
      </w:r>
      <w:r>
        <w:rPr>
          <w:rFonts w:ascii="Arial" w:cs="Arial" w:eastAsia="Arial" w:hAnsi="Arial"/>
          <w:sz w:val="16"/>
          <w:szCs w:val="16"/>
          <w:b w:val="1"/>
          <w:bCs w:val="1"/>
          <w:color w:val="auto"/>
        </w:rPr>
        <w:t>each</w:t>
      </w:r>
      <w:r>
        <w:rPr>
          <w:rFonts w:ascii="Arial" w:cs="Arial" w:eastAsia="Arial" w:hAnsi="Arial"/>
          <w:sz w:val="16"/>
          <w:szCs w:val="16"/>
          <w:color w:val="auto"/>
        </w:rPr>
        <w:t xml:space="preserve"> proxy card, or submit a proxy for each Notice to ensure that all of your shares are voted.</w:t>
      </w:r>
    </w:p>
    <w:p>
      <w:pPr>
        <w:spacing w:after="0" w:line="303"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42B6E9"/>
        </w:rPr>
        <w:t>What if I share an address with another stockholder of Wish?</w:t>
      </w:r>
    </w:p>
    <w:p>
      <w:pPr>
        <w:spacing w:after="0" w:line="66" w:lineRule="exact"/>
        <w:rPr>
          <w:sz w:val="20"/>
          <w:szCs w:val="20"/>
          <w:color w:val="auto"/>
        </w:rPr>
      </w:pPr>
    </w:p>
    <w:p>
      <w:pPr>
        <w:ind w:left="720" w:right="880"/>
        <w:spacing w:after="0" w:line="220" w:lineRule="auto"/>
        <w:rPr>
          <w:sz w:val="20"/>
          <w:szCs w:val="20"/>
          <w:color w:val="auto"/>
        </w:rPr>
      </w:pPr>
      <w:r>
        <w:rPr>
          <w:rFonts w:ascii="Arial" w:cs="Arial" w:eastAsia="Arial" w:hAnsi="Arial"/>
          <w:sz w:val="16"/>
          <w:szCs w:val="16"/>
          <w:color w:val="auto"/>
        </w:rPr>
        <w:t>If you reside at the same address as another Wish stockholder, you and other Wish stockholders residing at the same address will receive a single copy of the Notice of Availability of Proxy Materials. If you wish to receive an additional, separate copy of the Notice of Availability of Proxy Materials, please make a written request to: ContextLogic Inc., One Sansome Street, 40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San Francisco, California 94104, Attention: General Counsel and Secretary. Upon your request, we will promptly deliver a separate copy to you. The Annual Report, Proxy Statement, and Notice are also available at </w:t>
      </w:r>
      <w:r>
        <w:rPr>
          <w:rFonts w:ascii="Arial" w:cs="Arial" w:eastAsia="Arial" w:hAnsi="Arial"/>
          <w:sz w:val="16"/>
          <w:szCs w:val="16"/>
          <w:i w:val="1"/>
          <w:iCs w:val="1"/>
          <w:color w:val="auto"/>
        </w:rPr>
        <w:t>www.proxyvote.com</w:t>
      </w:r>
      <w:r>
        <w:rPr>
          <w:rFonts w:ascii="Arial" w:cs="Arial" w:eastAsia="Arial" w:hAnsi="Arial"/>
          <w:sz w:val="16"/>
          <w:szCs w:val="16"/>
          <w:color w:val="auto"/>
        </w:rPr>
        <w:t>.</w:t>
      </w:r>
    </w:p>
    <w:p>
      <w:pPr>
        <w:spacing w:after="0" w:line="314"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42B6E9"/>
        </w:rPr>
        <w:t>Can I change my vote after submitting my proxy?</w:t>
      </w:r>
    </w:p>
    <w:p>
      <w:pPr>
        <w:spacing w:after="0" w:line="9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Yes. You can revoke your proxy at any time before the final vote at the meeting. You may revoke your proxy in any one of three ways:</w:t>
      </w:r>
    </w:p>
    <w:p>
      <w:pPr>
        <w:spacing w:after="0" w:line="167" w:lineRule="exact"/>
        <w:rPr>
          <w:sz w:val="20"/>
          <w:szCs w:val="20"/>
          <w:color w:val="auto"/>
        </w:rPr>
      </w:pPr>
    </w:p>
    <w:p>
      <w:pPr>
        <w:ind w:left="1000" w:hanging="284"/>
        <w:spacing w:after="0"/>
        <w:tabs>
          <w:tab w:leader="none" w:pos="1000" w:val="left"/>
        </w:tabs>
        <w:numPr>
          <w:ilvl w:val="0"/>
          <w:numId w:val="10"/>
        </w:numPr>
        <w:rPr>
          <w:rFonts w:ascii="Arial" w:cs="Arial" w:eastAsia="Arial" w:hAnsi="Arial"/>
          <w:sz w:val="16"/>
          <w:szCs w:val="16"/>
          <w:color w:val="42B6E9"/>
        </w:rPr>
      </w:pPr>
      <w:r>
        <w:rPr>
          <w:rFonts w:ascii="Arial" w:cs="Arial" w:eastAsia="Arial" w:hAnsi="Arial"/>
          <w:sz w:val="16"/>
          <w:szCs w:val="16"/>
          <w:color w:val="auto"/>
        </w:rPr>
        <w:t>You may submit another properly completed proxy card with a later date.</w:t>
      </w:r>
    </w:p>
    <w:p>
      <w:pPr>
        <w:spacing w:after="0" w:line="167" w:lineRule="exact"/>
        <w:rPr>
          <w:rFonts w:ascii="Arial" w:cs="Arial" w:eastAsia="Arial" w:hAnsi="Arial"/>
          <w:sz w:val="16"/>
          <w:szCs w:val="16"/>
          <w:color w:val="42B6E9"/>
        </w:rPr>
      </w:pPr>
    </w:p>
    <w:p>
      <w:pPr>
        <w:ind w:left="1000" w:right="1140" w:hanging="284"/>
        <w:spacing w:after="0" w:line="268" w:lineRule="auto"/>
        <w:tabs>
          <w:tab w:leader="none" w:pos="1000" w:val="left"/>
        </w:tabs>
        <w:numPr>
          <w:ilvl w:val="0"/>
          <w:numId w:val="10"/>
        </w:numPr>
        <w:rPr>
          <w:rFonts w:ascii="Arial" w:cs="Arial" w:eastAsia="Arial" w:hAnsi="Arial"/>
          <w:sz w:val="16"/>
          <w:szCs w:val="16"/>
          <w:color w:val="42B6E9"/>
        </w:rPr>
      </w:pPr>
      <w:r>
        <w:rPr>
          <w:rFonts w:ascii="Arial" w:cs="Arial" w:eastAsia="Arial" w:hAnsi="Arial"/>
          <w:sz w:val="16"/>
          <w:szCs w:val="16"/>
          <w:color w:val="auto"/>
        </w:rPr>
        <w:t>You may send a written notice indicating that you are revoking your proxy to the Secretary of the Company at One Sansome Street, 40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San Francisco, California 94104.</w:t>
      </w:r>
    </w:p>
    <w:p>
      <w:pPr>
        <w:ind w:left="1000" w:right="780" w:hanging="284"/>
        <w:spacing w:after="0" w:line="253" w:lineRule="auto"/>
        <w:tabs>
          <w:tab w:leader="none" w:pos="1000" w:val="left"/>
        </w:tabs>
        <w:numPr>
          <w:ilvl w:val="0"/>
          <w:numId w:val="10"/>
        </w:numPr>
        <w:rPr>
          <w:rFonts w:ascii="Arial" w:cs="Arial" w:eastAsia="Arial" w:hAnsi="Arial"/>
          <w:sz w:val="16"/>
          <w:szCs w:val="16"/>
          <w:color w:val="42B6E9"/>
        </w:rPr>
      </w:pPr>
      <w:r>
        <w:rPr>
          <w:rFonts w:ascii="Arial" w:cs="Arial" w:eastAsia="Arial" w:hAnsi="Arial"/>
          <w:sz w:val="16"/>
          <w:szCs w:val="16"/>
          <w:color w:val="auto"/>
        </w:rPr>
        <w:t>You may virtually attend the Annual Meeting and vote electronically by going to www.virtualshareholdermeeting.com/WISH2021 and using your unique control number that was included in the Proxy Materials that you received in the mail. Simply attending the meeting will not, by itself, revoke your proxy.</w:t>
      </w:r>
    </w:p>
    <w:p>
      <w:pPr>
        <w:spacing w:after="0" w:line="316"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42B6E9"/>
        </w:rPr>
        <w:t>Who will solicit proxies on behalf of our Board of Directors?</w:t>
      </w:r>
    </w:p>
    <w:p>
      <w:pPr>
        <w:spacing w:after="0" w:line="52" w:lineRule="exact"/>
        <w:rPr>
          <w:sz w:val="20"/>
          <w:szCs w:val="20"/>
          <w:color w:val="auto"/>
        </w:rPr>
      </w:pPr>
    </w:p>
    <w:p>
      <w:pPr>
        <w:ind w:left="720" w:right="960"/>
        <w:spacing w:after="0" w:line="260" w:lineRule="auto"/>
        <w:rPr>
          <w:sz w:val="20"/>
          <w:szCs w:val="20"/>
          <w:color w:val="auto"/>
        </w:rPr>
      </w:pPr>
      <w:r>
        <w:rPr>
          <w:rFonts w:ascii="Arial" w:cs="Arial" w:eastAsia="Arial" w:hAnsi="Arial"/>
          <w:sz w:val="16"/>
          <w:szCs w:val="16"/>
          <w:color w:val="auto"/>
        </w:rPr>
        <w:t>Proxies may be solicited on behalf of our Board of Directors, without any additional compensation, by the Company’s directors and employees.</w:t>
      </w:r>
    </w:p>
    <w:p>
      <w:pPr>
        <w:spacing w:after="0" w:line="141" w:lineRule="exact"/>
        <w:rPr>
          <w:sz w:val="20"/>
          <w:szCs w:val="20"/>
          <w:color w:val="auto"/>
        </w:rPr>
      </w:pPr>
    </w:p>
    <w:p>
      <w:pPr>
        <w:ind w:left="720" w:right="840"/>
        <w:spacing w:after="0" w:line="251" w:lineRule="auto"/>
        <w:rPr>
          <w:sz w:val="20"/>
          <w:szCs w:val="20"/>
          <w:color w:val="auto"/>
        </w:rPr>
      </w:pPr>
      <w:r>
        <w:rPr>
          <w:rFonts w:ascii="Arial" w:cs="Arial" w:eastAsia="Arial" w:hAnsi="Arial"/>
          <w:sz w:val="16"/>
          <w:szCs w:val="16"/>
          <w:color w:val="auto"/>
        </w:rPr>
        <w:t xml:space="preserve">The original solicitation of proxies by mail may be supplemented by telephone, telegram, facsimile, electronic mail, and personal solicitation by our directors and officers (who will receive no additional compensation for such solicitation activities). You may also be solicited by advertisements in periodicals, press releases issued by us, and postings on our corporate website at </w:t>
      </w:r>
      <w:r>
        <w:rPr>
          <w:rFonts w:ascii="Arial" w:cs="Arial" w:eastAsia="Arial" w:hAnsi="Arial"/>
          <w:sz w:val="16"/>
          <w:szCs w:val="16"/>
          <w:i w:val="1"/>
          <w:iCs w:val="1"/>
          <w:color w:val="auto"/>
        </w:rPr>
        <w:t>www.ir.wish.com</w:t>
      </w:r>
      <w:r>
        <w:rPr>
          <w:rFonts w:ascii="Arial" w:cs="Arial" w:eastAsia="Arial" w:hAnsi="Arial"/>
          <w:sz w:val="16"/>
          <w:szCs w:val="16"/>
          <w:color w:val="auto"/>
        </w:rPr>
        <w:t>. Unless expressly indicated otherwise, information contained on our corporate website is not part of this Proxy Statement.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60" w:type="dxa"/>
            <w:vAlign w:val="bottom"/>
          </w:tcPr>
          <w:p>
            <w:pPr>
              <w:ind w:left="4060"/>
              <w:spacing w:after="0"/>
              <w:rPr>
                <w:sz w:val="20"/>
                <w:szCs w:val="20"/>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tc>
        <w:tc>
          <w:tcPr>
            <w:tcW w:w="1060" w:type="dxa"/>
            <w:vAlign w:val="bottom"/>
          </w:tcPr>
          <w:p>
            <w:pPr>
              <w:jc w:val="right"/>
              <w:ind w:right="648"/>
              <w:spacing w:after="0"/>
              <w:rPr>
                <w:sz w:val="20"/>
                <w:szCs w:val="20"/>
                <w:color w:val="auto"/>
              </w:rPr>
            </w:pPr>
            <w:r>
              <w:rPr>
                <w:rFonts w:ascii="Arial" w:cs="Arial" w:eastAsia="Arial" w:hAnsi="Arial"/>
                <w:sz w:val="14"/>
                <w:szCs w:val="14"/>
                <w:b w:val="1"/>
                <w:bCs w:val="1"/>
                <w:color w:val="auto"/>
              </w:rPr>
              <w:t>3</w:t>
            </w:r>
          </w:p>
        </w:tc>
      </w:tr>
      <w:tr>
        <w:trPr>
          <w:trHeight w:val="181"/>
        </w:trPr>
        <w:tc>
          <w:tcPr>
            <w:tcW w:w="99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8" w:name="page9"/>
    <w:bookmarkEnd w:id="8"/>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right="200"/>
        <w:spacing w:after="0" w:line="260" w:lineRule="auto"/>
        <w:rPr>
          <w:sz w:val="20"/>
          <w:szCs w:val="20"/>
          <w:color w:val="auto"/>
        </w:rPr>
      </w:pPr>
      <w:r>
        <w:rPr>
          <w:rFonts w:ascii="Arial" w:cs="Arial" w:eastAsia="Arial" w:hAnsi="Arial"/>
          <w:sz w:val="32"/>
          <w:szCs w:val="32"/>
          <w:color w:val="42B6E9"/>
        </w:rPr>
        <w:t>QUESTIONS AND ANSWERS ABOUT THIS PROXY MATERIAL AND VOTING (continued)</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42B6E9"/>
        </w:rPr>
        <w:t>How are votes counted?</w:t>
      </w:r>
    </w:p>
    <w:p>
      <w:pPr>
        <w:spacing w:after="0" w:line="52" w:lineRule="exact"/>
        <w:rPr>
          <w:sz w:val="20"/>
          <w:szCs w:val="20"/>
          <w:color w:val="auto"/>
        </w:rPr>
      </w:pPr>
    </w:p>
    <w:p>
      <w:pPr>
        <w:ind w:left="4"/>
        <w:spacing w:after="0" w:line="249" w:lineRule="auto"/>
        <w:rPr>
          <w:sz w:val="20"/>
          <w:szCs w:val="20"/>
          <w:color w:val="auto"/>
        </w:rPr>
      </w:pPr>
      <w:r>
        <w:rPr>
          <w:rFonts w:ascii="Arial" w:cs="Arial" w:eastAsia="Arial" w:hAnsi="Arial"/>
          <w:sz w:val="16"/>
          <w:szCs w:val="16"/>
          <w:color w:val="auto"/>
        </w:rPr>
        <w:t>Votes will be counted by the Inspector of Election appointed for the meeting, who will separately count “For” and “Against” votes, votes “Withheld,” abstentions, and broker non-votes. Abstentions will be counted as present for purposes of determining the presence of a quorum. For Proposal 1, abstentions will not be considered as votes cast for or against any director, and will therefore have no effect on the outcome of the vote. For Proposals 2, 3, and 4, abstentions will not be considered as votes cast for or against any proposal, and will therefore have no effect on the outcome of the vote. Broker non-votes, as described in the next paragraph, have no effect and will not be counted towards the vote total for such proposals.</w:t>
      </w:r>
    </w:p>
    <w:p>
      <w:pPr>
        <w:spacing w:after="0" w:line="151" w:lineRule="exact"/>
        <w:rPr>
          <w:sz w:val="20"/>
          <w:szCs w:val="20"/>
          <w:color w:val="auto"/>
        </w:rPr>
      </w:pPr>
    </w:p>
    <w:p>
      <w:pPr>
        <w:ind w:left="4" w:right="40"/>
        <w:spacing w:after="0" w:line="247" w:lineRule="auto"/>
        <w:rPr>
          <w:sz w:val="20"/>
          <w:szCs w:val="20"/>
          <w:color w:val="auto"/>
        </w:rPr>
      </w:pPr>
      <w:r>
        <w:rPr>
          <w:rFonts w:ascii="Arial" w:cs="Arial" w:eastAsia="Arial" w:hAnsi="Arial"/>
          <w:sz w:val="16"/>
          <w:szCs w:val="16"/>
          <w:color w:val="auto"/>
        </w:rPr>
        <w:t>If your shares are held by your bank or broker as your nominee (that is, in “street name”), you will need to obtain a voting instruction form from the institution that holds your shares and follow the instructions included on that form regarding how to instruct your broker to vote your shares. If you do not give instructions to your broker, your broker can vote your shares with respect to “discretionary” items, but not with respect to “non-discretionary” items. Discretionary items are proposals considered routine under the rules of the New York Stock Exchange (“NYSE”) on which your broker may vote shares held in street name without your voting instructions. On non-discretionary items for which you do not give your broker instructions, the shares will be treated as broker non-votes. Under current NYSE rules, any election of a member of the Board of Directors, whether contested or uncontested, is considered “non-discretionary,” and therefore, brokers are not permitted to vote your shares held in street name for the election of directors in the absence of instructions from you. All of our proposals, except for Proposal 2, are “non-discretionary,” and therefore, if your shares are held through a broker, nominee, fiduciary, or other custodian, your shares will not be voted on those proposals unless you provide voting instructions to the record holder.</w:t>
      </w:r>
    </w:p>
    <w:p>
      <w:pPr>
        <w:spacing w:after="0" w:line="35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42B6E9"/>
        </w:rPr>
        <w:t>How many votes are needed to approve each proposal?</w:t>
      </w:r>
    </w:p>
    <w:p>
      <w:pPr>
        <w:spacing w:after="0" w:line="66" w:lineRule="exact"/>
        <w:rPr>
          <w:sz w:val="20"/>
          <w:szCs w:val="20"/>
          <w:color w:val="auto"/>
        </w:rPr>
      </w:pPr>
    </w:p>
    <w:p>
      <w:pPr>
        <w:ind w:left="284" w:right="220" w:hanging="284"/>
        <w:spacing w:after="0" w:line="253" w:lineRule="auto"/>
        <w:tabs>
          <w:tab w:leader="none" w:pos="284" w:val="left"/>
        </w:tabs>
        <w:numPr>
          <w:ilvl w:val="0"/>
          <w:numId w:val="11"/>
        </w:numPr>
        <w:rPr>
          <w:rFonts w:ascii="Arial" w:cs="Arial" w:eastAsia="Arial" w:hAnsi="Arial"/>
          <w:sz w:val="16"/>
          <w:szCs w:val="16"/>
          <w:color w:val="42B6E9"/>
        </w:rPr>
      </w:pPr>
      <w:r>
        <w:rPr>
          <w:rFonts w:ascii="Arial" w:cs="Arial" w:eastAsia="Arial" w:hAnsi="Arial"/>
          <w:sz w:val="16"/>
          <w:szCs w:val="16"/>
          <w:color w:val="auto"/>
        </w:rPr>
        <w:t>For Proposal 1, directors are elected by a plurality of the votes cast with respect to such director. This means that nominees receiving the most “For” votes will be elected. Abstentions and broker non-votes are not considered votes cast on this proposal and will not have any effect on the election of directors.</w:t>
      </w:r>
    </w:p>
    <w:p>
      <w:pPr>
        <w:spacing w:after="0" w:line="147" w:lineRule="exact"/>
        <w:rPr>
          <w:rFonts w:ascii="Arial" w:cs="Arial" w:eastAsia="Arial" w:hAnsi="Arial"/>
          <w:sz w:val="16"/>
          <w:szCs w:val="16"/>
          <w:color w:val="42B6E9"/>
        </w:rPr>
      </w:pPr>
    </w:p>
    <w:p>
      <w:pPr>
        <w:ind w:left="284" w:right="60" w:hanging="284"/>
        <w:spacing w:after="0" w:line="250" w:lineRule="auto"/>
        <w:tabs>
          <w:tab w:leader="none" w:pos="284" w:val="left"/>
        </w:tabs>
        <w:numPr>
          <w:ilvl w:val="0"/>
          <w:numId w:val="11"/>
        </w:numPr>
        <w:rPr>
          <w:rFonts w:ascii="Arial" w:cs="Arial" w:eastAsia="Arial" w:hAnsi="Arial"/>
          <w:sz w:val="16"/>
          <w:szCs w:val="16"/>
          <w:color w:val="42B6E9"/>
        </w:rPr>
      </w:pPr>
      <w:r>
        <w:rPr>
          <w:rFonts w:ascii="Arial" w:cs="Arial" w:eastAsia="Arial" w:hAnsi="Arial"/>
          <w:sz w:val="16"/>
          <w:szCs w:val="16"/>
          <w:color w:val="auto"/>
        </w:rPr>
        <w:t>To be approved, Proposal 2, which seeks to ratify the appointment of Ernst &amp; Young LLP as our independent registered public accounting firm for the fiscal year ending December 31, 2021, must receive a “For” vote from a majority of the votes cast at the Annual Meeting. Abstentions are not counted as a vote cast for or against the proposal, and therefore, have no effect on the outcome of the vote. Broker non-votes, if any, are counted towards a quorum, but are not counted for any purpose in determining whether this matter has been approved.</w:t>
      </w:r>
    </w:p>
    <w:p>
      <w:pPr>
        <w:spacing w:after="0" w:line="148" w:lineRule="exact"/>
        <w:rPr>
          <w:rFonts w:ascii="Arial" w:cs="Arial" w:eastAsia="Arial" w:hAnsi="Arial"/>
          <w:sz w:val="16"/>
          <w:szCs w:val="16"/>
          <w:color w:val="42B6E9"/>
        </w:rPr>
      </w:pPr>
    </w:p>
    <w:p>
      <w:pPr>
        <w:ind w:left="284" w:right="60" w:hanging="284"/>
        <w:spacing w:after="0" w:line="249" w:lineRule="auto"/>
        <w:tabs>
          <w:tab w:leader="none" w:pos="284" w:val="left"/>
        </w:tabs>
        <w:numPr>
          <w:ilvl w:val="0"/>
          <w:numId w:val="11"/>
        </w:numPr>
        <w:rPr>
          <w:rFonts w:ascii="Arial" w:cs="Arial" w:eastAsia="Arial" w:hAnsi="Arial"/>
          <w:sz w:val="16"/>
          <w:szCs w:val="16"/>
          <w:color w:val="42B6E9"/>
        </w:rPr>
      </w:pPr>
      <w:r>
        <w:rPr>
          <w:rFonts w:ascii="Arial" w:cs="Arial" w:eastAsia="Arial" w:hAnsi="Arial"/>
          <w:sz w:val="16"/>
          <w:szCs w:val="16"/>
          <w:color w:val="auto"/>
        </w:rPr>
        <w:t>To be approved, Proposal 3, which seeks advisory approval of our executive compensation for the year ended December 31, 2020, must receive a “For” vote from a majority of the votes cast at the Annual Meeting. Abstentions are not counted as a vote cast for or against the proposal, and therefore, have no effect on the outcome of the vote. Broker non-votes are counted towards a quorum, but are not counted for any purpose in determining whether this matter has been approved. However, the advisory approval of our executive compensation for the year ended December 31, 2020 is advisory and non-binding in nature and cannot overrule any decisions made by our Board of Directors.</w:t>
      </w:r>
    </w:p>
    <w:p>
      <w:pPr>
        <w:spacing w:after="0" w:line="150" w:lineRule="exact"/>
        <w:rPr>
          <w:rFonts w:ascii="Arial" w:cs="Arial" w:eastAsia="Arial" w:hAnsi="Arial"/>
          <w:sz w:val="16"/>
          <w:szCs w:val="16"/>
          <w:color w:val="42B6E9"/>
        </w:rPr>
      </w:pPr>
    </w:p>
    <w:p>
      <w:pPr>
        <w:ind w:left="284" w:hanging="284"/>
        <w:spacing w:after="0" w:line="248" w:lineRule="auto"/>
        <w:tabs>
          <w:tab w:leader="none" w:pos="284" w:val="left"/>
        </w:tabs>
        <w:numPr>
          <w:ilvl w:val="0"/>
          <w:numId w:val="11"/>
        </w:numPr>
        <w:rPr>
          <w:rFonts w:ascii="Arial" w:cs="Arial" w:eastAsia="Arial" w:hAnsi="Arial"/>
          <w:sz w:val="16"/>
          <w:szCs w:val="16"/>
          <w:color w:val="42B6E9"/>
        </w:rPr>
      </w:pPr>
      <w:r>
        <w:rPr>
          <w:rFonts w:ascii="Arial" w:cs="Arial" w:eastAsia="Arial" w:hAnsi="Arial"/>
          <w:sz w:val="16"/>
          <w:szCs w:val="16"/>
          <w:color w:val="auto"/>
        </w:rPr>
        <w:t>With respect to Proposal 4, the option among one year, two years, or three years that receives the highest number of votes cast by stockholders will be the frequency for the advisory vote on our executive compensation that has been selected by stockholders. Abstentions are not counted as a vote cast for any option under the proposal and therefore have no effect on the outcome of the vote. Broker non-votes are counted towards a quorum, but are not counted as a vote cast for any option under the proposal and therefore have no effect on the outcome of the vote. However, because this vote is advisory and is not binding on our Board of Directors, our Board of Directors may decide that it is in the best interests of our stockholders and the Company to hold an advisory vote on executive compensation more or less frequently than the option approved by our stockholders.</w:t>
      </w:r>
    </w:p>
    <w:p>
      <w:pPr>
        <w:spacing w:after="0" w:line="35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42B6E9"/>
        </w:rPr>
        <w:t>What is the quorum requirement?</w:t>
      </w:r>
    </w:p>
    <w:p>
      <w:pPr>
        <w:spacing w:after="0" w:line="66" w:lineRule="exact"/>
        <w:rPr>
          <w:sz w:val="20"/>
          <w:szCs w:val="20"/>
          <w:color w:val="auto"/>
        </w:rPr>
      </w:pPr>
    </w:p>
    <w:p>
      <w:pPr>
        <w:ind w:left="4" w:right="100"/>
        <w:spacing w:after="0" w:line="253" w:lineRule="auto"/>
        <w:rPr>
          <w:sz w:val="20"/>
          <w:szCs w:val="20"/>
          <w:color w:val="auto"/>
        </w:rPr>
      </w:pPr>
      <w:r>
        <w:rPr>
          <w:rFonts w:ascii="Arial" w:cs="Arial" w:eastAsia="Arial" w:hAnsi="Arial"/>
          <w:sz w:val="16"/>
          <w:szCs w:val="16"/>
          <w:color w:val="auto"/>
        </w:rPr>
        <w:t>A quorum of stockholders is necessary to hold a valid meeting. A quorum exists if stockholders holding at least a majority of the voting power of the shares of Class A Common Stock and Class B Common Stock (voting together as a single class) entitled to vote are present at the Annual Meeting in person or represented by proxy.</w:t>
      </w:r>
    </w:p>
    <w:p>
      <w:pPr>
        <w:spacing w:after="0" w:line="147" w:lineRule="exact"/>
        <w:rPr>
          <w:sz w:val="20"/>
          <w:szCs w:val="20"/>
          <w:color w:val="auto"/>
        </w:rPr>
      </w:pPr>
    </w:p>
    <w:p>
      <w:pPr>
        <w:ind w:left="4" w:right="140"/>
        <w:spacing w:after="0" w:line="260" w:lineRule="auto"/>
        <w:rPr>
          <w:sz w:val="20"/>
          <w:szCs w:val="20"/>
          <w:color w:val="auto"/>
        </w:rPr>
      </w:pPr>
      <w:r>
        <w:rPr>
          <w:rFonts w:ascii="Arial" w:cs="Arial" w:eastAsia="Arial" w:hAnsi="Arial"/>
          <w:sz w:val="16"/>
          <w:szCs w:val="16"/>
          <w:color w:val="auto"/>
        </w:rPr>
        <w:t>Your shares will be counted towards the quorum only if you submit a valid proxy vote or vote at the meeting. Abstentions and broker non-votes will be counted towards the quorum requirement.</w:t>
      </w:r>
    </w:p>
    <w:p>
      <w:pPr>
        <w:spacing w:after="0" w:line="180" w:lineRule="exact"/>
        <w:rPr>
          <w:sz w:val="20"/>
          <w:szCs w:val="20"/>
          <w:color w:val="auto"/>
        </w:rPr>
      </w:pPr>
    </w:p>
    <w:p>
      <w:pPr>
        <w:ind w:left="544" w:hanging="544"/>
        <w:spacing w:after="0"/>
        <w:tabs>
          <w:tab w:leader="none" w:pos="544"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9" w:name="page10"/>
    <w:bookmarkEnd w:id="9"/>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right="940"/>
        <w:spacing w:after="0" w:line="260" w:lineRule="auto"/>
        <w:rPr>
          <w:sz w:val="20"/>
          <w:szCs w:val="20"/>
          <w:color w:val="auto"/>
        </w:rPr>
      </w:pPr>
      <w:r>
        <w:rPr>
          <w:rFonts w:ascii="Arial" w:cs="Arial" w:eastAsia="Arial" w:hAnsi="Arial"/>
          <w:sz w:val="32"/>
          <w:szCs w:val="32"/>
          <w:color w:val="42B6E9"/>
        </w:rPr>
        <w:t>QUESTIONS AND ANSWERS ABOUT THIS PROXY MATERIAL AND VOTING (continued)</w:t>
      </w:r>
    </w:p>
    <w:p>
      <w:pPr>
        <w:spacing w:after="0" w:line="31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42B6E9"/>
        </w:rPr>
        <w:t>How will my shares be voted if I mark “Abstain” on my proxy card?</w:t>
      </w:r>
    </w:p>
    <w:p>
      <w:pPr>
        <w:spacing w:after="0" w:line="52" w:lineRule="exact"/>
        <w:rPr>
          <w:sz w:val="20"/>
          <w:szCs w:val="20"/>
          <w:color w:val="auto"/>
        </w:rPr>
      </w:pPr>
    </w:p>
    <w:p>
      <w:pPr>
        <w:ind w:left="720" w:right="840"/>
        <w:spacing w:after="0" w:line="260" w:lineRule="auto"/>
        <w:rPr>
          <w:sz w:val="20"/>
          <w:szCs w:val="20"/>
          <w:color w:val="auto"/>
        </w:rPr>
      </w:pPr>
      <w:r>
        <w:rPr>
          <w:rFonts w:ascii="Arial" w:cs="Arial" w:eastAsia="Arial" w:hAnsi="Arial"/>
          <w:sz w:val="16"/>
          <w:szCs w:val="16"/>
          <w:color w:val="auto"/>
        </w:rPr>
        <w:t>We will count a properly executed proxy card marked “Abstain” as present for purposes of determining whether a quorum is present, but the shares represented by that proxy card will not be voted at the Annual Meeting for the proposals so marked.</w:t>
      </w:r>
    </w:p>
    <w:p>
      <w:pPr>
        <w:spacing w:after="0" w:line="351"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42B6E9"/>
        </w:rPr>
        <w:t>How can I find out the results of the voting at the Annual Meeting?</w:t>
      </w:r>
    </w:p>
    <w:p>
      <w:pPr>
        <w:spacing w:after="0" w:line="66" w:lineRule="exact"/>
        <w:rPr>
          <w:sz w:val="20"/>
          <w:szCs w:val="20"/>
          <w:color w:val="auto"/>
        </w:rPr>
      </w:pPr>
    </w:p>
    <w:p>
      <w:pPr>
        <w:ind w:left="720" w:right="780"/>
        <w:spacing w:after="0" w:line="260" w:lineRule="auto"/>
        <w:rPr>
          <w:sz w:val="20"/>
          <w:szCs w:val="20"/>
          <w:color w:val="auto"/>
        </w:rPr>
      </w:pPr>
      <w:r>
        <w:rPr>
          <w:rFonts w:ascii="Arial" w:cs="Arial" w:eastAsia="Arial" w:hAnsi="Arial"/>
          <w:sz w:val="16"/>
          <w:szCs w:val="16"/>
          <w:color w:val="auto"/>
        </w:rPr>
        <w:t>Preliminary voting results will be announced at the Annual Meeting. Final voting results will be available on a Current Report on Form 8-K filed with the Securities and Exchange Commission within four business days after the end of the Annual Meeting.</w:t>
      </w:r>
    </w:p>
    <w:p>
      <w:pPr>
        <w:spacing w:after="0" w:line="33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42B6E9"/>
        </w:rPr>
        <w:t>When are stockholder proposals due for next year’s Annual Meeting?</w:t>
      </w:r>
    </w:p>
    <w:p>
      <w:pPr>
        <w:spacing w:after="0" w:line="66" w:lineRule="exact"/>
        <w:rPr>
          <w:sz w:val="20"/>
          <w:szCs w:val="20"/>
          <w:color w:val="auto"/>
        </w:rPr>
      </w:pPr>
    </w:p>
    <w:p>
      <w:pPr>
        <w:ind w:left="720" w:right="760"/>
        <w:spacing w:after="0" w:line="248" w:lineRule="auto"/>
        <w:rPr>
          <w:sz w:val="20"/>
          <w:szCs w:val="20"/>
          <w:color w:val="auto"/>
        </w:rPr>
      </w:pPr>
      <w:r>
        <w:rPr>
          <w:rFonts w:ascii="Arial" w:cs="Arial" w:eastAsia="Arial" w:hAnsi="Arial"/>
          <w:sz w:val="16"/>
          <w:szCs w:val="16"/>
          <w:color w:val="auto"/>
        </w:rPr>
        <w:t>If you wish to submit a proposal to be considered for inclusion in next year’s proxy materials, your proposal must follow the guidelines outlined in SEC Regulation 14A, Rule 14a-8 and received by the Secretary of the Company on or before December 29, 2021. If you wish to submit a proposal to be presented at the 2022 Annual Meeting of Stockholders, but which will not be included in the Company’s proxy materials, including to nominate a director, your Solicitation Notice, as defined in our Bylaws, must be received by the Secretary of the Company at ContextLogic Inc., One Sansome Street, 40th Floor, San Francisco, California 94104, Attention: General Counsel and Secretary, no earlier than February 8, 2022, and no later than March 10, 2022. You are advised to review our Bylaws, which contain additional requirements about advance notice of stockholder proposals and director nominations.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60" w:type="dxa"/>
            <w:vAlign w:val="bottom"/>
          </w:tcPr>
          <w:p>
            <w:pPr>
              <w:ind w:left="4060"/>
              <w:spacing w:after="0"/>
              <w:rPr>
                <w:sz w:val="20"/>
                <w:szCs w:val="20"/>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tc>
        <w:tc>
          <w:tcPr>
            <w:tcW w:w="1060" w:type="dxa"/>
            <w:vAlign w:val="bottom"/>
          </w:tcPr>
          <w:p>
            <w:pPr>
              <w:jc w:val="right"/>
              <w:ind w:right="648"/>
              <w:spacing w:after="0"/>
              <w:rPr>
                <w:sz w:val="20"/>
                <w:szCs w:val="20"/>
                <w:color w:val="auto"/>
              </w:rPr>
            </w:pPr>
            <w:r>
              <w:rPr>
                <w:rFonts w:ascii="Arial" w:cs="Arial" w:eastAsia="Arial" w:hAnsi="Arial"/>
                <w:sz w:val="14"/>
                <w:szCs w:val="14"/>
                <w:b w:val="1"/>
                <w:bCs w:val="1"/>
                <w:color w:val="auto"/>
              </w:rPr>
              <w:t>5</w:t>
            </w:r>
          </w:p>
        </w:tc>
      </w:tr>
      <w:tr>
        <w:trPr>
          <w:trHeight w:val="168"/>
        </w:trPr>
        <w:tc>
          <w:tcPr>
            <w:tcW w:w="99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10" w:name="page11"/>
    <w:bookmarkEnd w:id="10"/>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right="940"/>
        <w:spacing w:after="0" w:line="260" w:lineRule="auto"/>
        <w:rPr>
          <w:sz w:val="20"/>
          <w:szCs w:val="20"/>
          <w:color w:val="auto"/>
        </w:rPr>
      </w:pPr>
      <w:r>
        <w:rPr>
          <w:rFonts w:ascii="Arial" w:cs="Arial" w:eastAsia="Arial" w:hAnsi="Arial"/>
          <w:sz w:val="32"/>
          <w:szCs w:val="32"/>
          <w:color w:val="42B6E9"/>
        </w:rPr>
        <w:t>DIRECTORS, EXECUTIVE OFFICERS, AND CORPORATE GOVERNANCE</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42B6E9"/>
        </w:rPr>
        <w:t>Directors and Executive Officers</w:t>
      </w:r>
    </w:p>
    <w:p>
      <w:pPr>
        <w:spacing w:after="0" w:line="93" w:lineRule="exact"/>
        <w:rPr>
          <w:sz w:val="20"/>
          <w:szCs w:val="20"/>
          <w:color w:val="auto"/>
        </w:rPr>
      </w:pPr>
    </w:p>
    <w:p>
      <w:pPr>
        <w:ind w:left="4"/>
        <w:spacing w:after="0"/>
        <w:rPr>
          <w:sz w:val="20"/>
          <w:szCs w:val="20"/>
          <w:color w:val="auto"/>
        </w:rPr>
      </w:pPr>
      <w:r>
        <w:rPr>
          <w:rFonts w:ascii="Arial" w:cs="Arial" w:eastAsia="Arial" w:hAnsi="Arial"/>
          <w:sz w:val="16"/>
          <w:szCs w:val="16"/>
          <w:color w:val="auto"/>
        </w:rPr>
        <w:t>Our directors and executive officers, and certain information about each of them as of March 31, 2021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6077585" cy="3103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77585" cy="3103245"/>
                    </a:xfrm>
                    <a:prstGeom prst="rect">
                      <a:avLst/>
                    </a:prstGeom>
                    <a:noFill/>
                  </pic:spPr>
                </pic:pic>
              </a:graphicData>
            </a:graphic>
          </wp:anchor>
        </w:drawing>
      </w:r>
    </w:p>
    <w:p>
      <w:pPr>
        <w:spacing w:after="0" w:line="51" w:lineRule="exact"/>
        <w:rPr>
          <w:sz w:val="20"/>
          <w:szCs w:val="20"/>
          <w:color w:val="auto"/>
        </w:rPr>
      </w:pPr>
    </w:p>
    <w:tbl>
      <w:tblPr>
        <w:tblLayout w:type="fixed"/>
        <w:tblInd w:w="4" w:type="dxa"/>
        <w:tblCellMar>
          <w:top w:w="0" w:type="dxa"/>
          <w:left w:w="0" w:type="dxa"/>
          <w:bottom w:w="0" w:type="dxa"/>
          <w:right w:w="0" w:type="dxa"/>
        </w:tblCellMar>
      </w:tblPr>
      <w:tr>
        <w:trPr>
          <w:trHeight w:val="285"/>
        </w:trPr>
        <w:tc>
          <w:tcPr>
            <w:tcW w:w="2000" w:type="dxa"/>
            <w:vAlign w:val="bottom"/>
            <w:shd w:val="clear" w:color="auto" w:fill="42B6E9"/>
          </w:tcPr>
          <w:p>
            <w:pPr>
              <w:ind w:left="60"/>
              <w:spacing w:after="0"/>
              <w:rPr>
                <w:sz w:val="20"/>
                <w:szCs w:val="20"/>
                <w:color w:val="auto"/>
              </w:rPr>
            </w:pPr>
            <w:r>
              <w:rPr>
                <w:rFonts w:ascii="Arial" w:cs="Arial" w:eastAsia="Arial" w:hAnsi="Arial"/>
                <w:sz w:val="14"/>
                <w:szCs w:val="14"/>
                <w:b w:val="1"/>
                <w:bCs w:val="1"/>
                <w:color w:val="FFFFFF"/>
              </w:rPr>
              <w:t>Name</w:t>
            </w:r>
          </w:p>
        </w:tc>
        <w:tc>
          <w:tcPr>
            <w:tcW w:w="1180" w:type="dxa"/>
            <w:vAlign w:val="bottom"/>
            <w:shd w:val="clear" w:color="auto" w:fill="42B6E9"/>
          </w:tcPr>
          <w:p>
            <w:pPr>
              <w:ind w:left="600"/>
              <w:spacing w:after="0"/>
              <w:rPr>
                <w:sz w:val="20"/>
                <w:szCs w:val="20"/>
                <w:color w:val="auto"/>
              </w:rPr>
            </w:pPr>
            <w:r>
              <w:rPr>
                <w:rFonts w:ascii="Arial" w:cs="Arial" w:eastAsia="Arial" w:hAnsi="Arial"/>
                <w:sz w:val="14"/>
                <w:szCs w:val="14"/>
                <w:b w:val="1"/>
                <w:bCs w:val="1"/>
                <w:color w:val="FFFFFF"/>
              </w:rPr>
              <w:t>Age</w:t>
            </w:r>
          </w:p>
        </w:tc>
        <w:tc>
          <w:tcPr>
            <w:tcW w:w="6380" w:type="dxa"/>
            <w:vAlign w:val="bottom"/>
            <w:shd w:val="clear" w:color="auto" w:fill="42B6E9"/>
          </w:tcPr>
          <w:p>
            <w:pPr>
              <w:ind w:left="320"/>
              <w:spacing w:after="0"/>
              <w:rPr>
                <w:sz w:val="20"/>
                <w:szCs w:val="20"/>
                <w:color w:val="auto"/>
              </w:rPr>
            </w:pPr>
            <w:r>
              <w:rPr>
                <w:rFonts w:ascii="Arial" w:cs="Arial" w:eastAsia="Arial" w:hAnsi="Arial"/>
                <w:sz w:val="14"/>
                <w:szCs w:val="14"/>
                <w:b w:val="1"/>
                <w:bCs w:val="1"/>
                <w:color w:val="FFFFFF"/>
              </w:rPr>
              <w:t>Position(s) at Wish</w:t>
            </w:r>
          </w:p>
        </w:tc>
      </w:tr>
      <w:tr>
        <w:trPr>
          <w:trHeight w:val="80"/>
        </w:trPr>
        <w:tc>
          <w:tcPr>
            <w:tcW w:w="2000" w:type="dxa"/>
            <w:vAlign w:val="bottom"/>
            <w:shd w:val="clear" w:color="auto" w:fill="42B6E9"/>
          </w:tcPr>
          <w:p>
            <w:pPr>
              <w:spacing w:after="0"/>
              <w:rPr>
                <w:sz w:val="6"/>
                <w:szCs w:val="6"/>
                <w:color w:val="auto"/>
              </w:rPr>
            </w:pPr>
          </w:p>
        </w:tc>
        <w:tc>
          <w:tcPr>
            <w:tcW w:w="1180" w:type="dxa"/>
            <w:vAlign w:val="bottom"/>
            <w:shd w:val="clear" w:color="auto" w:fill="42B6E9"/>
          </w:tcPr>
          <w:p>
            <w:pPr>
              <w:spacing w:after="0"/>
              <w:rPr>
                <w:sz w:val="6"/>
                <w:szCs w:val="6"/>
                <w:color w:val="auto"/>
              </w:rPr>
            </w:pPr>
          </w:p>
        </w:tc>
        <w:tc>
          <w:tcPr>
            <w:tcW w:w="6380" w:type="dxa"/>
            <w:vAlign w:val="bottom"/>
            <w:shd w:val="clear" w:color="auto" w:fill="42B6E9"/>
          </w:tcPr>
          <w:p>
            <w:pPr>
              <w:spacing w:after="0"/>
              <w:rPr>
                <w:sz w:val="6"/>
                <w:szCs w:val="6"/>
                <w:color w:val="auto"/>
              </w:rPr>
            </w:pPr>
          </w:p>
        </w:tc>
      </w:tr>
      <w:tr>
        <w:trPr>
          <w:trHeight w:val="291"/>
        </w:trPr>
        <w:tc>
          <w:tcPr>
            <w:tcW w:w="2000" w:type="dxa"/>
            <w:vAlign w:val="bottom"/>
            <w:shd w:val="clear" w:color="auto" w:fill="E9F8FD"/>
          </w:tcPr>
          <w:p>
            <w:pPr>
              <w:ind w:left="60"/>
              <w:spacing w:after="0"/>
              <w:rPr>
                <w:sz w:val="20"/>
                <w:szCs w:val="20"/>
                <w:color w:val="auto"/>
              </w:rPr>
            </w:pPr>
            <w:r>
              <w:rPr>
                <w:rFonts w:ascii="Arial" w:cs="Arial" w:eastAsia="Arial" w:hAnsi="Arial"/>
                <w:sz w:val="16"/>
                <w:szCs w:val="16"/>
                <w:color w:val="auto"/>
              </w:rPr>
              <w:t>Piotr Szulczewski</w:t>
            </w:r>
          </w:p>
        </w:tc>
        <w:tc>
          <w:tcPr>
            <w:tcW w:w="1180" w:type="dxa"/>
            <w:vAlign w:val="bottom"/>
            <w:shd w:val="clear" w:color="auto" w:fill="E9F8FD"/>
          </w:tcPr>
          <w:p>
            <w:pPr>
              <w:ind w:left="600"/>
              <w:spacing w:after="0"/>
              <w:rPr>
                <w:sz w:val="20"/>
                <w:szCs w:val="20"/>
                <w:color w:val="auto"/>
              </w:rPr>
            </w:pPr>
            <w:r>
              <w:rPr>
                <w:rFonts w:ascii="Arial" w:cs="Arial" w:eastAsia="Arial" w:hAnsi="Arial"/>
                <w:sz w:val="16"/>
                <w:szCs w:val="16"/>
                <w:color w:val="auto"/>
              </w:rPr>
              <w:t>39</w:t>
            </w:r>
          </w:p>
        </w:tc>
        <w:tc>
          <w:tcPr>
            <w:tcW w:w="6380" w:type="dxa"/>
            <w:vAlign w:val="bottom"/>
            <w:shd w:val="clear" w:color="auto" w:fill="E9F8FD"/>
          </w:tcPr>
          <w:p>
            <w:pPr>
              <w:ind w:left="320"/>
              <w:spacing w:after="0"/>
              <w:rPr>
                <w:sz w:val="20"/>
                <w:szCs w:val="20"/>
                <w:color w:val="auto"/>
              </w:rPr>
            </w:pPr>
            <w:r>
              <w:rPr>
                <w:rFonts w:ascii="Arial" w:cs="Arial" w:eastAsia="Arial" w:hAnsi="Arial"/>
                <w:sz w:val="16"/>
                <w:szCs w:val="16"/>
                <w:color w:val="auto"/>
              </w:rPr>
              <w:t>Founder, Chief Executive Officer, and Chairperson</w:t>
            </w:r>
          </w:p>
        </w:tc>
      </w:tr>
      <w:tr>
        <w:trPr>
          <w:trHeight w:val="87"/>
        </w:trPr>
        <w:tc>
          <w:tcPr>
            <w:tcW w:w="2000" w:type="dxa"/>
            <w:vAlign w:val="bottom"/>
            <w:shd w:val="clear" w:color="auto" w:fill="E9F8FD"/>
          </w:tcPr>
          <w:p>
            <w:pPr>
              <w:spacing w:after="0"/>
              <w:rPr>
                <w:sz w:val="7"/>
                <w:szCs w:val="7"/>
                <w:color w:val="auto"/>
              </w:rPr>
            </w:pPr>
          </w:p>
        </w:tc>
        <w:tc>
          <w:tcPr>
            <w:tcW w:w="1180" w:type="dxa"/>
            <w:vAlign w:val="bottom"/>
            <w:shd w:val="clear" w:color="auto" w:fill="E9F8FD"/>
          </w:tcPr>
          <w:p>
            <w:pPr>
              <w:spacing w:after="0"/>
              <w:rPr>
                <w:sz w:val="7"/>
                <w:szCs w:val="7"/>
                <w:color w:val="auto"/>
              </w:rPr>
            </w:pPr>
          </w:p>
        </w:tc>
        <w:tc>
          <w:tcPr>
            <w:tcW w:w="6380" w:type="dxa"/>
            <w:vAlign w:val="bottom"/>
            <w:shd w:val="clear" w:color="auto" w:fill="E9F8FD"/>
          </w:tcPr>
          <w:p>
            <w:pPr>
              <w:spacing w:after="0"/>
              <w:rPr>
                <w:sz w:val="7"/>
                <w:szCs w:val="7"/>
                <w:color w:val="auto"/>
              </w:rPr>
            </w:pPr>
          </w:p>
        </w:tc>
      </w:tr>
      <w:tr>
        <w:trPr>
          <w:trHeight w:val="291"/>
        </w:trPr>
        <w:tc>
          <w:tcPr>
            <w:tcW w:w="2000" w:type="dxa"/>
            <w:vAlign w:val="bottom"/>
          </w:tcPr>
          <w:p>
            <w:pPr>
              <w:ind w:left="60"/>
              <w:spacing w:after="0"/>
              <w:rPr>
                <w:sz w:val="20"/>
                <w:szCs w:val="20"/>
                <w:color w:val="auto"/>
              </w:rPr>
            </w:pPr>
            <w:r>
              <w:rPr>
                <w:rFonts w:ascii="Arial" w:cs="Arial" w:eastAsia="Arial" w:hAnsi="Arial"/>
                <w:sz w:val="16"/>
                <w:szCs w:val="16"/>
                <w:color w:val="auto"/>
              </w:rPr>
              <w:t>Rajat Bahri</w:t>
            </w:r>
          </w:p>
        </w:tc>
        <w:tc>
          <w:tcPr>
            <w:tcW w:w="1180" w:type="dxa"/>
            <w:vAlign w:val="bottom"/>
          </w:tcPr>
          <w:p>
            <w:pPr>
              <w:ind w:left="600"/>
              <w:spacing w:after="0"/>
              <w:rPr>
                <w:sz w:val="20"/>
                <w:szCs w:val="20"/>
                <w:color w:val="auto"/>
              </w:rPr>
            </w:pPr>
            <w:r>
              <w:rPr>
                <w:rFonts w:ascii="Arial" w:cs="Arial" w:eastAsia="Arial" w:hAnsi="Arial"/>
                <w:sz w:val="16"/>
                <w:szCs w:val="16"/>
                <w:color w:val="auto"/>
              </w:rPr>
              <w:t>56</w:t>
            </w:r>
          </w:p>
        </w:tc>
        <w:tc>
          <w:tcPr>
            <w:tcW w:w="6380" w:type="dxa"/>
            <w:vAlign w:val="bottom"/>
          </w:tcPr>
          <w:p>
            <w:pPr>
              <w:ind w:left="320"/>
              <w:spacing w:after="0"/>
              <w:rPr>
                <w:sz w:val="20"/>
                <w:szCs w:val="20"/>
                <w:color w:val="auto"/>
              </w:rPr>
            </w:pPr>
            <w:r>
              <w:rPr>
                <w:rFonts w:ascii="Arial" w:cs="Arial" w:eastAsia="Arial" w:hAnsi="Arial"/>
                <w:sz w:val="16"/>
                <w:szCs w:val="16"/>
                <w:color w:val="auto"/>
              </w:rPr>
              <w:t>Chief Financial Officer</w:t>
            </w:r>
          </w:p>
        </w:tc>
      </w:tr>
      <w:tr>
        <w:trPr>
          <w:trHeight w:val="87"/>
        </w:trPr>
        <w:tc>
          <w:tcPr>
            <w:tcW w:w="20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380" w:type="dxa"/>
            <w:vAlign w:val="bottom"/>
          </w:tcPr>
          <w:p>
            <w:pPr>
              <w:spacing w:after="0"/>
              <w:rPr>
                <w:sz w:val="7"/>
                <w:szCs w:val="7"/>
                <w:color w:val="auto"/>
              </w:rPr>
            </w:pPr>
          </w:p>
        </w:tc>
      </w:tr>
      <w:tr>
        <w:trPr>
          <w:trHeight w:val="291"/>
        </w:trPr>
        <w:tc>
          <w:tcPr>
            <w:tcW w:w="2000" w:type="dxa"/>
            <w:vAlign w:val="bottom"/>
            <w:shd w:val="clear" w:color="auto" w:fill="E9F8FD"/>
          </w:tcPr>
          <w:p>
            <w:pPr>
              <w:ind w:left="60"/>
              <w:spacing w:after="0"/>
              <w:rPr>
                <w:sz w:val="20"/>
                <w:szCs w:val="20"/>
                <w:color w:val="auto"/>
              </w:rPr>
            </w:pPr>
            <w:r>
              <w:rPr>
                <w:rFonts w:ascii="Arial" w:cs="Arial" w:eastAsia="Arial" w:hAnsi="Arial"/>
                <w:sz w:val="16"/>
                <w:szCs w:val="16"/>
                <w:color w:val="auto"/>
              </w:rPr>
              <w:t>Devang Shah</w:t>
            </w:r>
          </w:p>
        </w:tc>
        <w:tc>
          <w:tcPr>
            <w:tcW w:w="1180" w:type="dxa"/>
            <w:vAlign w:val="bottom"/>
            <w:shd w:val="clear" w:color="auto" w:fill="E9F8FD"/>
          </w:tcPr>
          <w:p>
            <w:pPr>
              <w:ind w:left="600"/>
              <w:spacing w:after="0"/>
              <w:rPr>
                <w:sz w:val="20"/>
                <w:szCs w:val="20"/>
                <w:color w:val="auto"/>
              </w:rPr>
            </w:pPr>
            <w:r>
              <w:rPr>
                <w:rFonts w:ascii="Arial" w:cs="Arial" w:eastAsia="Arial" w:hAnsi="Arial"/>
                <w:sz w:val="16"/>
                <w:szCs w:val="16"/>
                <w:color w:val="auto"/>
              </w:rPr>
              <w:t>49</w:t>
            </w:r>
          </w:p>
        </w:tc>
        <w:tc>
          <w:tcPr>
            <w:tcW w:w="6380" w:type="dxa"/>
            <w:vAlign w:val="bottom"/>
            <w:shd w:val="clear" w:color="auto" w:fill="E9F8FD"/>
          </w:tcPr>
          <w:p>
            <w:pPr>
              <w:ind w:left="320"/>
              <w:spacing w:after="0"/>
              <w:rPr>
                <w:sz w:val="20"/>
                <w:szCs w:val="20"/>
                <w:color w:val="auto"/>
              </w:rPr>
            </w:pPr>
            <w:r>
              <w:rPr>
                <w:rFonts w:ascii="Arial" w:cs="Arial" w:eastAsia="Arial" w:hAnsi="Arial"/>
                <w:sz w:val="16"/>
                <w:szCs w:val="16"/>
                <w:color w:val="auto"/>
              </w:rPr>
              <w:t>General Counsel and Secretary</w:t>
            </w:r>
          </w:p>
        </w:tc>
      </w:tr>
      <w:tr>
        <w:trPr>
          <w:trHeight w:val="87"/>
        </w:trPr>
        <w:tc>
          <w:tcPr>
            <w:tcW w:w="2000" w:type="dxa"/>
            <w:vAlign w:val="bottom"/>
            <w:shd w:val="clear" w:color="auto" w:fill="E9F8FD"/>
          </w:tcPr>
          <w:p>
            <w:pPr>
              <w:spacing w:after="0"/>
              <w:rPr>
                <w:sz w:val="7"/>
                <w:szCs w:val="7"/>
                <w:color w:val="auto"/>
              </w:rPr>
            </w:pPr>
          </w:p>
        </w:tc>
        <w:tc>
          <w:tcPr>
            <w:tcW w:w="1180" w:type="dxa"/>
            <w:vAlign w:val="bottom"/>
            <w:shd w:val="clear" w:color="auto" w:fill="E9F8FD"/>
          </w:tcPr>
          <w:p>
            <w:pPr>
              <w:spacing w:after="0"/>
              <w:rPr>
                <w:sz w:val="7"/>
                <w:szCs w:val="7"/>
                <w:color w:val="auto"/>
              </w:rPr>
            </w:pPr>
          </w:p>
        </w:tc>
        <w:tc>
          <w:tcPr>
            <w:tcW w:w="6380" w:type="dxa"/>
            <w:vAlign w:val="bottom"/>
            <w:shd w:val="clear" w:color="auto" w:fill="E9F8FD"/>
          </w:tcPr>
          <w:p>
            <w:pPr>
              <w:spacing w:after="0"/>
              <w:rPr>
                <w:sz w:val="7"/>
                <w:szCs w:val="7"/>
                <w:color w:val="auto"/>
              </w:rPr>
            </w:pPr>
          </w:p>
        </w:tc>
      </w:tr>
      <w:tr>
        <w:trPr>
          <w:trHeight w:val="291"/>
        </w:trPr>
        <w:tc>
          <w:tcPr>
            <w:tcW w:w="2000" w:type="dxa"/>
            <w:vAlign w:val="bottom"/>
          </w:tcPr>
          <w:p>
            <w:pPr>
              <w:ind w:left="60"/>
              <w:spacing w:after="0"/>
              <w:rPr>
                <w:sz w:val="20"/>
                <w:szCs w:val="20"/>
                <w:color w:val="auto"/>
              </w:rPr>
            </w:pPr>
            <w:r>
              <w:rPr>
                <w:rFonts w:ascii="Arial" w:cs="Arial" w:eastAsia="Arial" w:hAnsi="Arial"/>
                <w:sz w:val="16"/>
                <w:szCs w:val="16"/>
                <w:color w:val="auto"/>
              </w:rPr>
              <w:t>Thomas Chuang</w:t>
            </w:r>
          </w:p>
        </w:tc>
        <w:tc>
          <w:tcPr>
            <w:tcW w:w="1180" w:type="dxa"/>
            <w:vAlign w:val="bottom"/>
          </w:tcPr>
          <w:p>
            <w:pPr>
              <w:ind w:left="600"/>
              <w:spacing w:after="0"/>
              <w:rPr>
                <w:sz w:val="20"/>
                <w:szCs w:val="20"/>
                <w:color w:val="auto"/>
              </w:rPr>
            </w:pPr>
            <w:r>
              <w:rPr>
                <w:rFonts w:ascii="Arial" w:cs="Arial" w:eastAsia="Arial" w:hAnsi="Arial"/>
                <w:sz w:val="16"/>
                <w:szCs w:val="16"/>
                <w:color w:val="auto"/>
              </w:rPr>
              <w:t>44</w:t>
            </w:r>
          </w:p>
        </w:tc>
        <w:tc>
          <w:tcPr>
            <w:tcW w:w="6380" w:type="dxa"/>
            <w:vAlign w:val="bottom"/>
          </w:tcPr>
          <w:p>
            <w:pPr>
              <w:ind w:left="320"/>
              <w:spacing w:after="0"/>
              <w:rPr>
                <w:sz w:val="20"/>
                <w:szCs w:val="20"/>
                <w:color w:val="auto"/>
              </w:rPr>
            </w:pPr>
            <w:r>
              <w:rPr>
                <w:rFonts w:ascii="Arial" w:cs="Arial" w:eastAsia="Arial" w:hAnsi="Arial"/>
                <w:sz w:val="16"/>
                <w:szCs w:val="16"/>
                <w:color w:val="auto"/>
              </w:rPr>
              <w:t>Vice President of Operations</w:t>
            </w:r>
          </w:p>
        </w:tc>
      </w:tr>
      <w:tr>
        <w:trPr>
          <w:trHeight w:val="87"/>
        </w:trPr>
        <w:tc>
          <w:tcPr>
            <w:tcW w:w="20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380" w:type="dxa"/>
            <w:vAlign w:val="bottom"/>
          </w:tcPr>
          <w:p>
            <w:pPr>
              <w:spacing w:after="0"/>
              <w:rPr>
                <w:sz w:val="7"/>
                <w:szCs w:val="7"/>
                <w:color w:val="auto"/>
              </w:rPr>
            </w:pPr>
          </w:p>
        </w:tc>
      </w:tr>
      <w:tr>
        <w:trPr>
          <w:trHeight w:val="291"/>
        </w:trPr>
        <w:tc>
          <w:tcPr>
            <w:tcW w:w="2000" w:type="dxa"/>
            <w:vAlign w:val="bottom"/>
            <w:shd w:val="clear" w:color="auto" w:fill="E9F8FD"/>
          </w:tcPr>
          <w:p>
            <w:pPr>
              <w:ind w:left="60"/>
              <w:spacing w:after="0"/>
              <w:rPr>
                <w:sz w:val="20"/>
                <w:szCs w:val="20"/>
                <w:color w:val="auto"/>
              </w:rPr>
            </w:pPr>
            <w:r>
              <w:rPr>
                <w:rFonts w:ascii="Arial" w:cs="Arial" w:eastAsia="Arial" w:hAnsi="Arial"/>
                <w:sz w:val="16"/>
                <w:szCs w:val="16"/>
                <w:color w:val="auto"/>
              </w:rPr>
              <w:t>Pai Liu</w:t>
            </w:r>
          </w:p>
        </w:tc>
        <w:tc>
          <w:tcPr>
            <w:tcW w:w="1180" w:type="dxa"/>
            <w:vAlign w:val="bottom"/>
            <w:shd w:val="clear" w:color="auto" w:fill="E9F8FD"/>
          </w:tcPr>
          <w:p>
            <w:pPr>
              <w:ind w:left="600"/>
              <w:spacing w:after="0"/>
              <w:rPr>
                <w:sz w:val="20"/>
                <w:szCs w:val="20"/>
                <w:color w:val="auto"/>
              </w:rPr>
            </w:pPr>
            <w:r>
              <w:rPr>
                <w:rFonts w:ascii="Arial" w:cs="Arial" w:eastAsia="Arial" w:hAnsi="Arial"/>
                <w:sz w:val="16"/>
                <w:szCs w:val="16"/>
                <w:color w:val="auto"/>
              </w:rPr>
              <w:t>35</w:t>
            </w:r>
          </w:p>
        </w:tc>
        <w:tc>
          <w:tcPr>
            <w:tcW w:w="6380" w:type="dxa"/>
            <w:vAlign w:val="bottom"/>
            <w:shd w:val="clear" w:color="auto" w:fill="E9F8FD"/>
          </w:tcPr>
          <w:p>
            <w:pPr>
              <w:ind w:left="320"/>
              <w:spacing w:after="0"/>
              <w:rPr>
                <w:sz w:val="20"/>
                <w:szCs w:val="20"/>
                <w:color w:val="auto"/>
              </w:rPr>
            </w:pPr>
            <w:r>
              <w:rPr>
                <w:rFonts w:ascii="Arial" w:cs="Arial" w:eastAsia="Arial" w:hAnsi="Arial"/>
                <w:sz w:val="16"/>
                <w:szCs w:val="16"/>
                <w:color w:val="auto"/>
              </w:rPr>
              <w:t>Vice President of Data Science</w:t>
            </w:r>
          </w:p>
        </w:tc>
      </w:tr>
      <w:tr>
        <w:trPr>
          <w:trHeight w:val="87"/>
        </w:trPr>
        <w:tc>
          <w:tcPr>
            <w:tcW w:w="2000" w:type="dxa"/>
            <w:vAlign w:val="bottom"/>
            <w:shd w:val="clear" w:color="auto" w:fill="E9F8FD"/>
          </w:tcPr>
          <w:p>
            <w:pPr>
              <w:spacing w:after="0"/>
              <w:rPr>
                <w:sz w:val="7"/>
                <w:szCs w:val="7"/>
                <w:color w:val="auto"/>
              </w:rPr>
            </w:pPr>
          </w:p>
        </w:tc>
        <w:tc>
          <w:tcPr>
            <w:tcW w:w="1180" w:type="dxa"/>
            <w:vAlign w:val="bottom"/>
            <w:shd w:val="clear" w:color="auto" w:fill="E9F8FD"/>
          </w:tcPr>
          <w:p>
            <w:pPr>
              <w:spacing w:after="0"/>
              <w:rPr>
                <w:sz w:val="7"/>
                <w:szCs w:val="7"/>
                <w:color w:val="auto"/>
              </w:rPr>
            </w:pPr>
          </w:p>
        </w:tc>
        <w:tc>
          <w:tcPr>
            <w:tcW w:w="6380" w:type="dxa"/>
            <w:vAlign w:val="bottom"/>
            <w:shd w:val="clear" w:color="auto" w:fill="E9F8FD"/>
          </w:tcPr>
          <w:p>
            <w:pPr>
              <w:spacing w:after="0"/>
              <w:rPr>
                <w:sz w:val="7"/>
                <w:szCs w:val="7"/>
                <w:color w:val="auto"/>
              </w:rPr>
            </w:pPr>
          </w:p>
        </w:tc>
      </w:tr>
      <w:tr>
        <w:trPr>
          <w:trHeight w:val="291"/>
        </w:trPr>
        <w:tc>
          <w:tcPr>
            <w:tcW w:w="2000" w:type="dxa"/>
            <w:vAlign w:val="bottom"/>
          </w:tcPr>
          <w:p>
            <w:pPr>
              <w:ind w:left="60"/>
              <w:spacing w:after="0"/>
              <w:rPr>
                <w:sz w:val="20"/>
                <w:szCs w:val="20"/>
                <w:color w:val="auto"/>
              </w:rPr>
            </w:pPr>
            <w:r>
              <w:rPr>
                <w:rFonts w:ascii="Arial" w:cs="Arial" w:eastAsia="Arial" w:hAnsi="Arial"/>
                <w:sz w:val="16"/>
                <w:szCs w:val="16"/>
                <w:color w:val="auto"/>
              </w:rPr>
              <w:t>Julie Bradley</w:t>
            </w:r>
          </w:p>
        </w:tc>
        <w:tc>
          <w:tcPr>
            <w:tcW w:w="1180" w:type="dxa"/>
            <w:vAlign w:val="bottom"/>
          </w:tcPr>
          <w:p>
            <w:pPr>
              <w:ind w:left="600"/>
              <w:spacing w:after="0"/>
              <w:rPr>
                <w:sz w:val="20"/>
                <w:szCs w:val="20"/>
                <w:color w:val="auto"/>
              </w:rPr>
            </w:pPr>
            <w:r>
              <w:rPr>
                <w:rFonts w:ascii="Arial" w:cs="Arial" w:eastAsia="Arial" w:hAnsi="Arial"/>
                <w:sz w:val="16"/>
                <w:szCs w:val="16"/>
                <w:color w:val="auto"/>
              </w:rPr>
              <w:t>52</w:t>
            </w:r>
          </w:p>
        </w:tc>
        <w:tc>
          <w:tcPr>
            <w:tcW w:w="6380" w:type="dxa"/>
            <w:vAlign w:val="bottom"/>
          </w:tcPr>
          <w:p>
            <w:pPr>
              <w:ind w:left="320"/>
              <w:spacing w:after="0"/>
              <w:rPr>
                <w:sz w:val="20"/>
                <w:szCs w:val="20"/>
                <w:color w:val="auto"/>
              </w:rPr>
            </w:pPr>
            <w:r>
              <w:rPr>
                <w:rFonts w:ascii="Arial" w:cs="Arial" w:eastAsia="Arial" w:hAnsi="Arial"/>
                <w:sz w:val="16"/>
                <w:szCs w:val="16"/>
                <w:color w:val="auto"/>
              </w:rPr>
              <w:t>Director</w:t>
            </w:r>
          </w:p>
        </w:tc>
      </w:tr>
      <w:tr>
        <w:trPr>
          <w:trHeight w:val="87"/>
        </w:trPr>
        <w:tc>
          <w:tcPr>
            <w:tcW w:w="20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380" w:type="dxa"/>
            <w:vAlign w:val="bottom"/>
          </w:tcPr>
          <w:p>
            <w:pPr>
              <w:spacing w:after="0"/>
              <w:rPr>
                <w:sz w:val="7"/>
                <w:szCs w:val="7"/>
                <w:color w:val="auto"/>
              </w:rPr>
            </w:pPr>
          </w:p>
        </w:tc>
      </w:tr>
      <w:tr>
        <w:trPr>
          <w:trHeight w:val="291"/>
        </w:trPr>
        <w:tc>
          <w:tcPr>
            <w:tcW w:w="2000" w:type="dxa"/>
            <w:vAlign w:val="bottom"/>
            <w:shd w:val="clear" w:color="auto" w:fill="E9F8FD"/>
          </w:tcPr>
          <w:p>
            <w:pPr>
              <w:ind w:left="60"/>
              <w:spacing w:after="0"/>
              <w:rPr>
                <w:sz w:val="20"/>
                <w:szCs w:val="20"/>
                <w:color w:val="auto"/>
              </w:rPr>
            </w:pPr>
            <w:r>
              <w:rPr>
                <w:rFonts w:ascii="Arial" w:cs="Arial" w:eastAsia="Arial" w:hAnsi="Arial"/>
                <w:sz w:val="16"/>
                <w:szCs w:val="16"/>
                <w:color w:val="auto"/>
              </w:rPr>
              <w:t>Ari Emanuel</w:t>
            </w:r>
          </w:p>
        </w:tc>
        <w:tc>
          <w:tcPr>
            <w:tcW w:w="1180" w:type="dxa"/>
            <w:vAlign w:val="bottom"/>
            <w:shd w:val="clear" w:color="auto" w:fill="E9F8FD"/>
          </w:tcPr>
          <w:p>
            <w:pPr>
              <w:ind w:left="600"/>
              <w:spacing w:after="0"/>
              <w:rPr>
                <w:sz w:val="20"/>
                <w:szCs w:val="20"/>
                <w:color w:val="auto"/>
              </w:rPr>
            </w:pPr>
            <w:r>
              <w:rPr>
                <w:rFonts w:ascii="Arial" w:cs="Arial" w:eastAsia="Arial" w:hAnsi="Arial"/>
                <w:sz w:val="16"/>
                <w:szCs w:val="16"/>
                <w:color w:val="auto"/>
              </w:rPr>
              <w:t>60</w:t>
            </w:r>
          </w:p>
        </w:tc>
        <w:tc>
          <w:tcPr>
            <w:tcW w:w="6380" w:type="dxa"/>
            <w:vAlign w:val="bottom"/>
            <w:shd w:val="clear" w:color="auto" w:fill="E9F8FD"/>
          </w:tcPr>
          <w:p>
            <w:pPr>
              <w:ind w:left="320"/>
              <w:spacing w:after="0"/>
              <w:rPr>
                <w:sz w:val="20"/>
                <w:szCs w:val="20"/>
                <w:color w:val="auto"/>
              </w:rPr>
            </w:pPr>
            <w:r>
              <w:rPr>
                <w:rFonts w:ascii="Arial" w:cs="Arial" w:eastAsia="Arial" w:hAnsi="Arial"/>
                <w:sz w:val="16"/>
                <w:szCs w:val="16"/>
                <w:color w:val="auto"/>
              </w:rPr>
              <w:t>Director</w:t>
            </w:r>
          </w:p>
        </w:tc>
      </w:tr>
      <w:tr>
        <w:trPr>
          <w:trHeight w:val="87"/>
        </w:trPr>
        <w:tc>
          <w:tcPr>
            <w:tcW w:w="2000" w:type="dxa"/>
            <w:vAlign w:val="bottom"/>
            <w:shd w:val="clear" w:color="auto" w:fill="E9F8FD"/>
          </w:tcPr>
          <w:p>
            <w:pPr>
              <w:spacing w:after="0"/>
              <w:rPr>
                <w:sz w:val="7"/>
                <w:szCs w:val="7"/>
                <w:color w:val="auto"/>
              </w:rPr>
            </w:pPr>
          </w:p>
        </w:tc>
        <w:tc>
          <w:tcPr>
            <w:tcW w:w="1180" w:type="dxa"/>
            <w:vAlign w:val="bottom"/>
            <w:shd w:val="clear" w:color="auto" w:fill="E9F8FD"/>
          </w:tcPr>
          <w:p>
            <w:pPr>
              <w:spacing w:after="0"/>
              <w:rPr>
                <w:sz w:val="7"/>
                <w:szCs w:val="7"/>
                <w:color w:val="auto"/>
              </w:rPr>
            </w:pPr>
          </w:p>
        </w:tc>
        <w:tc>
          <w:tcPr>
            <w:tcW w:w="6380" w:type="dxa"/>
            <w:vAlign w:val="bottom"/>
            <w:shd w:val="clear" w:color="auto" w:fill="E9F8FD"/>
          </w:tcPr>
          <w:p>
            <w:pPr>
              <w:spacing w:after="0"/>
              <w:rPr>
                <w:sz w:val="7"/>
                <w:szCs w:val="7"/>
                <w:color w:val="auto"/>
              </w:rPr>
            </w:pPr>
          </w:p>
        </w:tc>
      </w:tr>
      <w:tr>
        <w:trPr>
          <w:trHeight w:val="291"/>
        </w:trPr>
        <w:tc>
          <w:tcPr>
            <w:tcW w:w="2000" w:type="dxa"/>
            <w:vAlign w:val="bottom"/>
          </w:tcPr>
          <w:p>
            <w:pPr>
              <w:ind w:left="60"/>
              <w:spacing w:after="0"/>
              <w:rPr>
                <w:sz w:val="20"/>
                <w:szCs w:val="20"/>
                <w:color w:val="auto"/>
              </w:rPr>
            </w:pPr>
            <w:r>
              <w:rPr>
                <w:rFonts w:ascii="Arial" w:cs="Arial" w:eastAsia="Arial" w:hAnsi="Arial"/>
                <w:sz w:val="16"/>
                <w:szCs w:val="16"/>
                <w:color w:val="auto"/>
              </w:rPr>
              <w:t>Joe Lonsdale</w:t>
            </w:r>
          </w:p>
        </w:tc>
        <w:tc>
          <w:tcPr>
            <w:tcW w:w="1180" w:type="dxa"/>
            <w:vAlign w:val="bottom"/>
          </w:tcPr>
          <w:p>
            <w:pPr>
              <w:ind w:left="600"/>
              <w:spacing w:after="0"/>
              <w:rPr>
                <w:sz w:val="20"/>
                <w:szCs w:val="20"/>
                <w:color w:val="auto"/>
              </w:rPr>
            </w:pPr>
            <w:r>
              <w:rPr>
                <w:rFonts w:ascii="Arial" w:cs="Arial" w:eastAsia="Arial" w:hAnsi="Arial"/>
                <w:sz w:val="16"/>
                <w:szCs w:val="16"/>
                <w:color w:val="auto"/>
              </w:rPr>
              <w:t>38</w:t>
            </w:r>
          </w:p>
        </w:tc>
        <w:tc>
          <w:tcPr>
            <w:tcW w:w="6380" w:type="dxa"/>
            <w:vAlign w:val="bottom"/>
          </w:tcPr>
          <w:p>
            <w:pPr>
              <w:ind w:left="320"/>
              <w:spacing w:after="0"/>
              <w:rPr>
                <w:sz w:val="20"/>
                <w:szCs w:val="20"/>
                <w:color w:val="auto"/>
              </w:rPr>
            </w:pPr>
            <w:r>
              <w:rPr>
                <w:rFonts w:ascii="Arial" w:cs="Arial" w:eastAsia="Arial" w:hAnsi="Arial"/>
                <w:sz w:val="16"/>
                <w:szCs w:val="16"/>
                <w:color w:val="auto"/>
              </w:rPr>
              <w:t>Director</w:t>
            </w:r>
          </w:p>
        </w:tc>
      </w:tr>
      <w:tr>
        <w:trPr>
          <w:trHeight w:val="87"/>
        </w:trPr>
        <w:tc>
          <w:tcPr>
            <w:tcW w:w="20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380" w:type="dxa"/>
            <w:vAlign w:val="bottom"/>
          </w:tcPr>
          <w:p>
            <w:pPr>
              <w:spacing w:after="0"/>
              <w:rPr>
                <w:sz w:val="7"/>
                <w:szCs w:val="7"/>
                <w:color w:val="auto"/>
              </w:rPr>
            </w:pPr>
          </w:p>
        </w:tc>
      </w:tr>
      <w:tr>
        <w:trPr>
          <w:trHeight w:val="291"/>
        </w:trPr>
        <w:tc>
          <w:tcPr>
            <w:tcW w:w="2000" w:type="dxa"/>
            <w:vAlign w:val="bottom"/>
            <w:shd w:val="clear" w:color="auto" w:fill="E9F8FD"/>
          </w:tcPr>
          <w:p>
            <w:pPr>
              <w:ind w:left="60"/>
              <w:spacing w:after="0"/>
              <w:rPr>
                <w:sz w:val="20"/>
                <w:szCs w:val="20"/>
                <w:color w:val="auto"/>
              </w:rPr>
            </w:pPr>
            <w:r>
              <w:rPr>
                <w:rFonts w:ascii="Arial" w:cs="Arial" w:eastAsia="Arial" w:hAnsi="Arial"/>
                <w:sz w:val="16"/>
                <w:szCs w:val="16"/>
                <w:color w:val="auto"/>
              </w:rPr>
              <w:t>Jacqueline Reses</w:t>
            </w:r>
          </w:p>
        </w:tc>
        <w:tc>
          <w:tcPr>
            <w:tcW w:w="1180" w:type="dxa"/>
            <w:vAlign w:val="bottom"/>
            <w:shd w:val="clear" w:color="auto" w:fill="E9F8FD"/>
          </w:tcPr>
          <w:p>
            <w:pPr>
              <w:ind w:left="600"/>
              <w:spacing w:after="0"/>
              <w:rPr>
                <w:sz w:val="20"/>
                <w:szCs w:val="20"/>
                <w:color w:val="auto"/>
              </w:rPr>
            </w:pPr>
            <w:r>
              <w:rPr>
                <w:rFonts w:ascii="Arial" w:cs="Arial" w:eastAsia="Arial" w:hAnsi="Arial"/>
                <w:sz w:val="16"/>
                <w:szCs w:val="16"/>
                <w:color w:val="auto"/>
              </w:rPr>
              <w:t>51</w:t>
            </w:r>
          </w:p>
        </w:tc>
        <w:tc>
          <w:tcPr>
            <w:tcW w:w="6380" w:type="dxa"/>
            <w:vAlign w:val="bottom"/>
            <w:shd w:val="clear" w:color="auto" w:fill="E9F8FD"/>
          </w:tcPr>
          <w:p>
            <w:pPr>
              <w:ind w:left="320"/>
              <w:spacing w:after="0"/>
              <w:rPr>
                <w:sz w:val="20"/>
                <w:szCs w:val="20"/>
                <w:color w:val="auto"/>
              </w:rPr>
            </w:pPr>
            <w:r>
              <w:rPr>
                <w:rFonts w:ascii="Arial" w:cs="Arial" w:eastAsia="Arial" w:hAnsi="Arial"/>
                <w:sz w:val="16"/>
                <w:szCs w:val="16"/>
                <w:color w:val="auto"/>
              </w:rPr>
              <w:t>Director</w:t>
            </w:r>
          </w:p>
        </w:tc>
      </w:tr>
      <w:tr>
        <w:trPr>
          <w:trHeight w:val="87"/>
        </w:trPr>
        <w:tc>
          <w:tcPr>
            <w:tcW w:w="2000" w:type="dxa"/>
            <w:vAlign w:val="bottom"/>
            <w:shd w:val="clear" w:color="auto" w:fill="E9F8FD"/>
          </w:tcPr>
          <w:p>
            <w:pPr>
              <w:spacing w:after="0"/>
              <w:rPr>
                <w:sz w:val="7"/>
                <w:szCs w:val="7"/>
                <w:color w:val="auto"/>
              </w:rPr>
            </w:pPr>
          </w:p>
        </w:tc>
        <w:tc>
          <w:tcPr>
            <w:tcW w:w="1180" w:type="dxa"/>
            <w:vAlign w:val="bottom"/>
            <w:shd w:val="clear" w:color="auto" w:fill="E9F8FD"/>
          </w:tcPr>
          <w:p>
            <w:pPr>
              <w:spacing w:after="0"/>
              <w:rPr>
                <w:sz w:val="7"/>
                <w:szCs w:val="7"/>
                <w:color w:val="auto"/>
              </w:rPr>
            </w:pPr>
          </w:p>
        </w:tc>
        <w:tc>
          <w:tcPr>
            <w:tcW w:w="6380" w:type="dxa"/>
            <w:vAlign w:val="bottom"/>
            <w:shd w:val="clear" w:color="auto" w:fill="E9F8FD"/>
          </w:tcPr>
          <w:p>
            <w:pPr>
              <w:spacing w:after="0"/>
              <w:rPr>
                <w:sz w:val="7"/>
                <w:szCs w:val="7"/>
                <w:color w:val="auto"/>
              </w:rPr>
            </w:pPr>
          </w:p>
        </w:tc>
      </w:tr>
      <w:tr>
        <w:trPr>
          <w:trHeight w:val="291"/>
        </w:trPr>
        <w:tc>
          <w:tcPr>
            <w:tcW w:w="2000" w:type="dxa"/>
            <w:vAlign w:val="bottom"/>
          </w:tcPr>
          <w:p>
            <w:pPr>
              <w:ind w:left="60"/>
              <w:spacing w:after="0"/>
              <w:rPr>
                <w:sz w:val="20"/>
                <w:szCs w:val="20"/>
                <w:color w:val="auto"/>
              </w:rPr>
            </w:pPr>
            <w:r>
              <w:rPr>
                <w:rFonts w:ascii="Arial" w:cs="Arial" w:eastAsia="Arial" w:hAnsi="Arial"/>
                <w:sz w:val="16"/>
                <w:szCs w:val="16"/>
                <w:color w:val="auto"/>
              </w:rPr>
              <w:t>Tanzeen Syed</w:t>
            </w:r>
          </w:p>
        </w:tc>
        <w:tc>
          <w:tcPr>
            <w:tcW w:w="1180" w:type="dxa"/>
            <w:vAlign w:val="bottom"/>
          </w:tcPr>
          <w:p>
            <w:pPr>
              <w:ind w:left="600"/>
              <w:spacing w:after="0"/>
              <w:rPr>
                <w:sz w:val="20"/>
                <w:szCs w:val="20"/>
                <w:color w:val="auto"/>
              </w:rPr>
            </w:pPr>
            <w:r>
              <w:rPr>
                <w:rFonts w:ascii="Arial" w:cs="Arial" w:eastAsia="Arial" w:hAnsi="Arial"/>
                <w:sz w:val="16"/>
                <w:szCs w:val="16"/>
                <w:color w:val="auto"/>
              </w:rPr>
              <w:t>38</w:t>
            </w:r>
          </w:p>
        </w:tc>
        <w:tc>
          <w:tcPr>
            <w:tcW w:w="6380" w:type="dxa"/>
            <w:vAlign w:val="bottom"/>
          </w:tcPr>
          <w:p>
            <w:pPr>
              <w:ind w:left="320"/>
              <w:spacing w:after="0"/>
              <w:rPr>
                <w:sz w:val="20"/>
                <w:szCs w:val="20"/>
                <w:color w:val="auto"/>
              </w:rPr>
            </w:pPr>
            <w:r>
              <w:rPr>
                <w:rFonts w:ascii="Arial" w:cs="Arial" w:eastAsia="Arial" w:hAnsi="Arial"/>
                <w:sz w:val="16"/>
                <w:szCs w:val="16"/>
                <w:color w:val="auto"/>
              </w:rPr>
              <w:t>Lead Independent Director</w:t>
            </w:r>
          </w:p>
        </w:tc>
      </w:tr>
      <w:tr>
        <w:trPr>
          <w:trHeight w:val="87"/>
        </w:trPr>
        <w:tc>
          <w:tcPr>
            <w:tcW w:w="20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380" w:type="dxa"/>
            <w:vAlign w:val="bottom"/>
          </w:tcPr>
          <w:p>
            <w:pPr>
              <w:spacing w:after="0"/>
              <w:rPr>
                <w:sz w:val="7"/>
                <w:szCs w:val="7"/>
                <w:color w:val="auto"/>
              </w:rPr>
            </w:pPr>
          </w:p>
        </w:tc>
      </w:tr>
      <w:tr>
        <w:trPr>
          <w:trHeight w:val="291"/>
        </w:trPr>
        <w:tc>
          <w:tcPr>
            <w:tcW w:w="2000" w:type="dxa"/>
            <w:vAlign w:val="bottom"/>
            <w:shd w:val="clear" w:color="auto" w:fill="E9F8FD"/>
          </w:tcPr>
          <w:p>
            <w:pPr>
              <w:ind w:left="60"/>
              <w:spacing w:after="0"/>
              <w:rPr>
                <w:sz w:val="20"/>
                <w:szCs w:val="20"/>
                <w:color w:val="auto"/>
              </w:rPr>
            </w:pPr>
            <w:r>
              <w:rPr>
                <w:rFonts w:ascii="Arial" w:cs="Arial" w:eastAsia="Arial" w:hAnsi="Arial"/>
                <w:sz w:val="16"/>
                <w:szCs w:val="16"/>
                <w:color w:val="auto"/>
              </w:rPr>
              <w:t>Stephanie Tilenius</w:t>
            </w:r>
          </w:p>
        </w:tc>
        <w:tc>
          <w:tcPr>
            <w:tcW w:w="1180" w:type="dxa"/>
            <w:vAlign w:val="bottom"/>
            <w:shd w:val="clear" w:color="auto" w:fill="E9F8FD"/>
          </w:tcPr>
          <w:p>
            <w:pPr>
              <w:ind w:left="600"/>
              <w:spacing w:after="0"/>
              <w:rPr>
                <w:sz w:val="20"/>
                <w:szCs w:val="20"/>
                <w:color w:val="auto"/>
              </w:rPr>
            </w:pPr>
            <w:r>
              <w:rPr>
                <w:rFonts w:ascii="Arial" w:cs="Arial" w:eastAsia="Arial" w:hAnsi="Arial"/>
                <w:sz w:val="16"/>
                <w:szCs w:val="16"/>
                <w:color w:val="auto"/>
              </w:rPr>
              <w:t>53</w:t>
            </w:r>
          </w:p>
        </w:tc>
        <w:tc>
          <w:tcPr>
            <w:tcW w:w="6380" w:type="dxa"/>
            <w:vAlign w:val="bottom"/>
            <w:shd w:val="clear" w:color="auto" w:fill="E9F8FD"/>
          </w:tcPr>
          <w:p>
            <w:pPr>
              <w:ind w:left="320"/>
              <w:spacing w:after="0"/>
              <w:rPr>
                <w:sz w:val="20"/>
                <w:szCs w:val="20"/>
                <w:color w:val="auto"/>
              </w:rPr>
            </w:pPr>
            <w:r>
              <w:rPr>
                <w:rFonts w:ascii="Arial" w:cs="Arial" w:eastAsia="Arial" w:hAnsi="Arial"/>
                <w:sz w:val="16"/>
                <w:szCs w:val="16"/>
                <w:color w:val="auto"/>
              </w:rPr>
              <w:t>Director</w:t>
            </w:r>
          </w:p>
        </w:tc>
      </w:tr>
      <w:tr>
        <w:trPr>
          <w:trHeight w:val="87"/>
        </w:trPr>
        <w:tc>
          <w:tcPr>
            <w:tcW w:w="2000" w:type="dxa"/>
            <w:vAlign w:val="bottom"/>
            <w:shd w:val="clear" w:color="auto" w:fill="E9F8FD"/>
          </w:tcPr>
          <w:p>
            <w:pPr>
              <w:spacing w:after="0"/>
              <w:rPr>
                <w:sz w:val="7"/>
                <w:szCs w:val="7"/>
                <w:color w:val="auto"/>
              </w:rPr>
            </w:pPr>
          </w:p>
        </w:tc>
        <w:tc>
          <w:tcPr>
            <w:tcW w:w="1180" w:type="dxa"/>
            <w:vAlign w:val="bottom"/>
            <w:shd w:val="clear" w:color="auto" w:fill="E9F8FD"/>
          </w:tcPr>
          <w:p>
            <w:pPr>
              <w:spacing w:after="0"/>
              <w:rPr>
                <w:sz w:val="7"/>
                <w:szCs w:val="7"/>
                <w:color w:val="auto"/>
              </w:rPr>
            </w:pPr>
          </w:p>
        </w:tc>
        <w:tc>
          <w:tcPr>
            <w:tcW w:w="6380" w:type="dxa"/>
            <w:vAlign w:val="bottom"/>
            <w:shd w:val="clear" w:color="auto" w:fill="E9F8FD"/>
          </w:tcPr>
          <w:p>
            <w:pPr>
              <w:spacing w:after="0"/>
              <w:rPr>
                <w:sz w:val="7"/>
                <w:szCs w:val="7"/>
                <w:color w:val="auto"/>
              </w:rPr>
            </w:pPr>
          </w:p>
        </w:tc>
      </w:tr>
      <w:tr>
        <w:trPr>
          <w:trHeight w:val="291"/>
        </w:trPr>
        <w:tc>
          <w:tcPr>
            <w:tcW w:w="2000" w:type="dxa"/>
            <w:vAlign w:val="bottom"/>
          </w:tcPr>
          <w:p>
            <w:pPr>
              <w:ind w:left="60"/>
              <w:spacing w:after="0"/>
              <w:rPr>
                <w:sz w:val="20"/>
                <w:szCs w:val="20"/>
                <w:color w:val="auto"/>
              </w:rPr>
            </w:pPr>
            <w:r>
              <w:rPr>
                <w:rFonts w:ascii="Arial" w:cs="Arial" w:eastAsia="Arial" w:hAnsi="Arial"/>
                <w:sz w:val="16"/>
                <w:szCs w:val="16"/>
                <w:color w:val="auto"/>
              </w:rPr>
              <w:t>Hans Tung</w:t>
            </w:r>
          </w:p>
        </w:tc>
        <w:tc>
          <w:tcPr>
            <w:tcW w:w="1180" w:type="dxa"/>
            <w:vAlign w:val="bottom"/>
          </w:tcPr>
          <w:p>
            <w:pPr>
              <w:ind w:left="600"/>
              <w:spacing w:after="0"/>
              <w:rPr>
                <w:sz w:val="20"/>
                <w:szCs w:val="20"/>
                <w:color w:val="auto"/>
              </w:rPr>
            </w:pPr>
            <w:r>
              <w:rPr>
                <w:rFonts w:ascii="Arial" w:cs="Arial" w:eastAsia="Arial" w:hAnsi="Arial"/>
                <w:sz w:val="16"/>
                <w:szCs w:val="16"/>
                <w:color w:val="auto"/>
              </w:rPr>
              <w:t>50</w:t>
            </w:r>
          </w:p>
        </w:tc>
        <w:tc>
          <w:tcPr>
            <w:tcW w:w="6380" w:type="dxa"/>
            <w:vAlign w:val="bottom"/>
          </w:tcPr>
          <w:p>
            <w:pPr>
              <w:ind w:left="320"/>
              <w:spacing w:after="0"/>
              <w:rPr>
                <w:sz w:val="20"/>
                <w:szCs w:val="20"/>
                <w:color w:val="auto"/>
              </w:rPr>
            </w:pPr>
            <w:r>
              <w:rPr>
                <w:rFonts w:ascii="Arial" w:cs="Arial" w:eastAsia="Arial" w:hAnsi="Arial"/>
                <w:sz w:val="16"/>
                <w:szCs w:val="16"/>
                <w:color w:val="auto"/>
              </w:rPr>
              <w:t>Director</w:t>
            </w:r>
          </w:p>
        </w:tc>
      </w:tr>
    </w:tbl>
    <w:p>
      <w:pPr>
        <w:spacing w:after="0" w:line="283" w:lineRule="exact"/>
        <w:rPr>
          <w:sz w:val="20"/>
          <w:szCs w:val="20"/>
          <w:color w:val="auto"/>
        </w:rPr>
      </w:pPr>
    </w:p>
    <w:p>
      <w:pPr>
        <w:ind w:left="4"/>
        <w:spacing w:after="0"/>
        <w:rPr>
          <w:sz w:val="20"/>
          <w:szCs w:val="20"/>
          <w:color w:val="auto"/>
        </w:rPr>
      </w:pPr>
      <w:r>
        <w:rPr>
          <w:rFonts w:ascii="Arial" w:cs="Arial" w:eastAsia="Arial" w:hAnsi="Arial"/>
          <w:sz w:val="26"/>
          <w:szCs w:val="26"/>
          <w:color w:val="42B6E9"/>
        </w:rPr>
        <w:t>Executive Officers</w:t>
      </w:r>
    </w:p>
    <w:p>
      <w:pPr>
        <w:spacing w:after="0" w:line="169" w:lineRule="exact"/>
        <w:rPr>
          <w:sz w:val="20"/>
          <w:szCs w:val="20"/>
          <w:color w:val="auto"/>
        </w:rPr>
      </w:pPr>
    </w:p>
    <w:p>
      <w:pPr>
        <w:ind w:left="4"/>
        <w:spacing w:after="0" w:line="250" w:lineRule="auto"/>
        <w:rPr>
          <w:sz w:val="20"/>
          <w:szCs w:val="20"/>
          <w:color w:val="auto"/>
        </w:rPr>
      </w:pPr>
      <w:r>
        <w:rPr>
          <w:rFonts w:ascii="Arial" w:cs="Arial" w:eastAsia="Arial" w:hAnsi="Arial"/>
          <w:sz w:val="16"/>
          <w:szCs w:val="16"/>
          <w:color w:val="42B6E9"/>
        </w:rPr>
        <w:t xml:space="preserve">Piotr Szulczewski </w:t>
      </w:r>
      <w:r>
        <w:rPr>
          <w:rFonts w:ascii="Arial" w:cs="Arial" w:eastAsia="Arial" w:hAnsi="Arial"/>
          <w:sz w:val="16"/>
          <w:szCs w:val="16"/>
          <w:color w:val="000000"/>
        </w:rPr>
        <w:t>is our Founder, and has served as our Chief Executive Officer since July 2010 and as our Chairperson of the Board</w:t>
      </w:r>
      <w:r>
        <w:rPr>
          <w:rFonts w:ascii="Arial" w:cs="Arial" w:eastAsia="Arial" w:hAnsi="Arial"/>
          <w:sz w:val="16"/>
          <w:szCs w:val="16"/>
          <w:color w:val="42B6E9"/>
        </w:rPr>
        <w:t xml:space="preserve"> </w:t>
      </w:r>
      <w:r>
        <w:rPr>
          <w:rFonts w:ascii="Arial" w:cs="Arial" w:eastAsia="Arial" w:hAnsi="Arial"/>
          <w:sz w:val="16"/>
          <w:szCs w:val="16"/>
          <w:color w:val="000000"/>
        </w:rPr>
        <w:t>since August 2020. Prior to founding the Company, Mr. Szulczewski served in various positions at Google, Inc., a technology company, including as a technical lead and senior software engineer, from April 2005 until January 2009. Mr. Szulczewski holds a B.S. in mathematics and computer science from University of Waterloo. We believe that Mr. Szulczewski is qualified to serve as a member of our Board based on the perspective and experience he brings as our Founder and Chief Executive Officer.</w:t>
      </w:r>
    </w:p>
    <w:p>
      <w:pPr>
        <w:spacing w:after="0" w:line="149" w:lineRule="exact"/>
        <w:rPr>
          <w:sz w:val="20"/>
          <w:szCs w:val="20"/>
          <w:color w:val="auto"/>
        </w:rPr>
      </w:pPr>
    </w:p>
    <w:p>
      <w:pPr>
        <w:ind w:left="4" w:right="80"/>
        <w:spacing w:after="0" w:line="248" w:lineRule="auto"/>
        <w:rPr>
          <w:sz w:val="20"/>
          <w:szCs w:val="20"/>
          <w:color w:val="auto"/>
        </w:rPr>
      </w:pPr>
      <w:r>
        <w:rPr>
          <w:rFonts w:ascii="Arial" w:cs="Arial" w:eastAsia="Arial" w:hAnsi="Arial"/>
          <w:sz w:val="16"/>
          <w:szCs w:val="16"/>
          <w:color w:val="42B6E9"/>
        </w:rPr>
        <w:t xml:space="preserve">Rajat Bahri </w:t>
      </w:r>
      <w:r>
        <w:rPr>
          <w:rFonts w:ascii="Arial" w:cs="Arial" w:eastAsia="Arial" w:hAnsi="Arial"/>
          <w:sz w:val="16"/>
          <w:szCs w:val="16"/>
          <w:color w:val="000000"/>
        </w:rPr>
        <w:t>has served as our Chief Financial Officer since December 2016. Prior to joining the Company, Mr. Bahri served as Chief</w:t>
      </w:r>
      <w:r>
        <w:rPr>
          <w:rFonts w:ascii="Arial" w:cs="Arial" w:eastAsia="Arial" w:hAnsi="Arial"/>
          <w:sz w:val="16"/>
          <w:szCs w:val="16"/>
          <w:color w:val="42B6E9"/>
        </w:rPr>
        <w:t xml:space="preserve"> </w:t>
      </w:r>
      <w:r>
        <w:rPr>
          <w:rFonts w:ascii="Arial" w:cs="Arial" w:eastAsia="Arial" w:hAnsi="Arial"/>
          <w:sz w:val="16"/>
          <w:szCs w:val="16"/>
          <w:color w:val="000000"/>
        </w:rPr>
        <w:t>Financial Officer at Jasper Technologies, Inc., a technology company, from June 2013 until October 2016. Prior to Jasper Technologies, Mr. Bahri spent over eight years as Chief Financial Officer of Trimble Navigation, a publicly traded company. Mr. Bahri began his career at Kraft Foods Inc., where he spent 18 years in various positions, including Chief Financial Officer of Kraft Canada, Inc. and Kraft Pizza Company. Since July 2020, Mr. Bahri has served on the Board of Directors of Pacific Gas and Electric Company. Mr. Bahri holds a Bachelor in Commerce from the University of Delhi and an M.B.A. from the Fuqua School of Business at Duke University.</w:t>
      </w:r>
    </w:p>
    <w:p>
      <w:pPr>
        <w:spacing w:after="0" w:line="154" w:lineRule="exact"/>
        <w:rPr>
          <w:sz w:val="20"/>
          <w:szCs w:val="20"/>
          <w:color w:val="auto"/>
        </w:rPr>
      </w:pPr>
    </w:p>
    <w:p>
      <w:pPr>
        <w:ind w:left="4" w:right="20"/>
        <w:spacing w:after="0" w:line="246" w:lineRule="auto"/>
        <w:rPr>
          <w:sz w:val="20"/>
          <w:szCs w:val="20"/>
          <w:color w:val="auto"/>
        </w:rPr>
      </w:pPr>
      <w:r>
        <w:rPr>
          <w:rFonts w:ascii="Arial" w:cs="Arial" w:eastAsia="Arial" w:hAnsi="Arial"/>
          <w:sz w:val="16"/>
          <w:szCs w:val="16"/>
          <w:color w:val="42B6E9"/>
        </w:rPr>
        <w:t xml:space="preserve">Devang Shah </w:t>
      </w:r>
      <w:r>
        <w:rPr>
          <w:rFonts w:ascii="Arial" w:cs="Arial" w:eastAsia="Arial" w:hAnsi="Arial"/>
          <w:sz w:val="16"/>
          <w:szCs w:val="16"/>
          <w:color w:val="000000"/>
        </w:rPr>
        <w:t>has served as our General Counsel since February 2018 and Secretary since November 2020. From August 2010 until</w:t>
      </w:r>
      <w:r>
        <w:rPr>
          <w:rFonts w:ascii="Arial" w:cs="Arial" w:eastAsia="Arial" w:hAnsi="Arial"/>
          <w:sz w:val="16"/>
          <w:szCs w:val="16"/>
          <w:color w:val="42B6E9"/>
        </w:rPr>
        <w:t xml:space="preserve"> </w:t>
      </w:r>
      <w:r>
        <w:rPr>
          <w:rFonts w:ascii="Arial" w:cs="Arial" w:eastAsia="Arial" w:hAnsi="Arial"/>
          <w:sz w:val="16"/>
          <w:szCs w:val="16"/>
          <w:color w:val="000000"/>
        </w:rPr>
        <w:t>April 2017, Mr. Shah served in various positions at Zynga Inc., a game development company, most recently as General Counsel, Secretary, and Senior Vice President. Prior to Zynga, Mr. Shah served as General Counsel and Associate General Counsel at UTStarcom, a telecommunications company; Senior Corporate Counsel at Longs Drugs Inc.; and Corporate Counsel at Chiron Corporation, a biotechnology company. Mr. Shah began his career as an attorney at Skadden Arps Slate Meagher &amp; Flom, LLP.</w:t>
      </w:r>
    </w:p>
    <w:p>
      <w:pPr>
        <w:spacing w:after="0" w:line="2" w:lineRule="exact"/>
        <w:rPr>
          <w:sz w:val="20"/>
          <w:szCs w:val="20"/>
          <w:color w:val="auto"/>
        </w:rPr>
      </w:pPr>
    </w:p>
    <w:p>
      <w:pPr>
        <w:ind w:left="4" w:right="300"/>
        <w:spacing w:after="0" w:line="260" w:lineRule="auto"/>
        <w:rPr>
          <w:sz w:val="20"/>
          <w:szCs w:val="20"/>
          <w:color w:val="auto"/>
        </w:rPr>
      </w:pPr>
      <w:r>
        <w:rPr>
          <w:rFonts w:ascii="Arial" w:cs="Arial" w:eastAsia="Arial" w:hAnsi="Arial"/>
          <w:sz w:val="16"/>
          <w:szCs w:val="16"/>
          <w:color w:val="auto"/>
        </w:rPr>
        <w:t>Mr. Shah holds a B.S. in engineering from Cornell University, an M.S. in engineering from Stanford University, and a J.D. from the University of California, Berkeley School of Law.</w:t>
      </w:r>
    </w:p>
    <w:p>
      <w:pPr>
        <w:spacing w:after="0" w:line="141" w:lineRule="exact"/>
        <w:rPr>
          <w:sz w:val="20"/>
          <w:szCs w:val="20"/>
          <w:color w:val="auto"/>
        </w:rPr>
      </w:pPr>
    </w:p>
    <w:p>
      <w:pPr>
        <w:ind w:left="4" w:right="100"/>
        <w:spacing w:after="0" w:line="250" w:lineRule="auto"/>
        <w:rPr>
          <w:sz w:val="20"/>
          <w:szCs w:val="20"/>
          <w:color w:val="auto"/>
        </w:rPr>
      </w:pPr>
      <w:r>
        <w:rPr>
          <w:rFonts w:ascii="Arial" w:cs="Arial" w:eastAsia="Arial" w:hAnsi="Arial"/>
          <w:sz w:val="16"/>
          <w:szCs w:val="16"/>
          <w:color w:val="42B6E9"/>
        </w:rPr>
        <w:t xml:space="preserve">Thomas Chuang </w:t>
      </w:r>
      <w:r>
        <w:rPr>
          <w:rFonts w:ascii="Arial" w:cs="Arial" w:eastAsia="Arial" w:hAnsi="Arial"/>
          <w:sz w:val="16"/>
          <w:szCs w:val="16"/>
          <w:color w:val="000000"/>
        </w:rPr>
        <w:t>has served as our Vice President of Operations since December 2019, and prior to that, has served as our Head of</w:t>
      </w:r>
      <w:r>
        <w:rPr>
          <w:rFonts w:ascii="Arial" w:cs="Arial" w:eastAsia="Arial" w:hAnsi="Arial"/>
          <w:sz w:val="16"/>
          <w:szCs w:val="16"/>
          <w:color w:val="42B6E9"/>
        </w:rPr>
        <w:t xml:space="preserve"> </w:t>
      </w:r>
      <w:r>
        <w:rPr>
          <w:rFonts w:ascii="Arial" w:cs="Arial" w:eastAsia="Arial" w:hAnsi="Arial"/>
          <w:sz w:val="16"/>
          <w:szCs w:val="16"/>
          <w:color w:val="000000"/>
        </w:rPr>
        <w:t>Finance then Vice President of Finance beginning in June 2014. Prior to joining the Company, Mr. Chuang was a senior analyst at GGV Capital, a venture capital firm, and began his career at PricewaterhouseCoopers. Mr. Chuang holds a B.S. in Business Administration from the University of California, Santa Cruz and an M.B.A. from the Walter A. Haas School of Business at the University of California, Berkeley.</w:t>
      </w:r>
    </w:p>
    <w:p>
      <w:pPr>
        <w:spacing w:after="0" w:line="149" w:lineRule="exact"/>
        <w:rPr>
          <w:sz w:val="20"/>
          <w:szCs w:val="20"/>
          <w:color w:val="auto"/>
        </w:rPr>
      </w:pPr>
    </w:p>
    <w:p>
      <w:pPr>
        <w:ind w:left="4" w:right="160"/>
        <w:spacing w:after="0" w:line="249" w:lineRule="auto"/>
        <w:rPr>
          <w:sz w:val="20"/>
          <w:szCs w:val="20"/>
          <w:color w:val="auto"/>
        </w:rPr>
      </w:pPr>
      <w:r>
        <w:rPr>
          <w:rFonts w:ascii="Arial" w:cs="Arial" w:eastAsia="Arial" w:hAnsi="Arial"/>
          <w:sz w:val="16"/>
          <w:szCs w:val="16"/>
          <w:color w:val="42B6E9"/>
        </w:rPr>
        <w:t xml:space="preserve">Pai Liu </w:t>
      </w:r>
      <w:r>
        <w:rPr>
          <w:rFonts w:ascii="Arial" w:cs="Arial" w:eastAsia="Arial" w:hAnsi="Arial"/>
          <w:sz w:val="16"/>
          <w:szCs w:val="16"/>
          <w:color w:val="000000"/>
        </w:rPr>
        <w:t>has served as our Vice President of Data Science since August 2020. He has previously served as Director of Data Science</w:t>
      </w:r>
      <w:r>
        <w:rPr>
          <w:rFonts w:ascii="Arial" w:cs="Arial" w:eastAsia="Arial" w:hAnsi="Arial"/>
          <w:sz w:val="16"/>
          <w:szCs w:val="16"/>
          <w:color w:val="42B6E9"/>
        </w:rPr>
        <w:t xml:space="preserve"> </w:t>
      </w:r>
      <w:r>
        <w:rPr>
          <w:rFonts w:ascii="Arial" w:cs="Arial" w:eastAsia="Arial" w:hAnsi="Arial"/>
          <w:sz w:val="16"/>
          <w:szCs w:val="16"/>
          <w:color w:val="000000"/>
        </w:rPr>
        <w:t>since September 2019. Prior to joining the Company, Mr. Liu served as Data Science Manager at Airbnb, an online rental company, from August 2015 until August 2017, and Data Science Lead until September 2019. Earlier in his career, Mr. Liu was a research scientist at PARC, a Xerox company. Mr. Liu holds a Bachelor’s degree from Tsinghua University, a Masters in Computer Science from the University of Southern California, and a Ph.D. in Industrial and System Engineering from the University of Southern California.</w:t>
      </w:r>
    </w:p>
    <w:p>
      <w:pPr>
        <w:sectPr>
          <w:pgSz w:w="11900" w:h="16838" w:orient="portrait"/>
          <w:cols w:equalWidth="0" w:num="1">
            <w:col w:w="9564"/>
          </w:cols>
          <w:pgMar w:left="1156" w:top="265" w:right="1179" w:bottom="1440" w:gutter="0" w:footer="0" w:header="0"/>
        </w:sectPr>
      </w:pPr>
    </w:p>
    <w:p>
      <w:pPr>
        <w:spacing w:after="0" w:line="190" w:lineRule="exact"/>
        <w:rPr>
          <w:sz w:val="20"/>
          <w:szCs w:val="20"/>
          <w:color w:val="auto"/>
        </w:rPr>
      </w:pPr>
    </w:p>
    <w:p>
      <w:pPr>
        <w:ind w:left="544" w:hanging="544"/>
        <w:spacing w:after="0"/>
        <w:tabs>
          <w:tab w:leader="none" w:pos="544"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type w:val="continuous"/>
        </w:sectPr>
      </w:pPr>
    </w:p>
    <w:bookmarkStart w:id="11" w:name="page12"/>
    <w:bookmarkEnd w:id="11"/>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42B6E9"/>
        </w:rPr>
        <w:t>DIRECTORS, EXECUTIVE OFFICERS, AND CORPORATE</w:t>
      </w:r>
    </w:p>
    <w:p>
      <w:pPr>
        <w:spacing w:after="0" w:line="10" w:lineRule="exact"/>
        <w:rPr>
          <w:sz w:val="20"/>
          <w:szCs w:val="20"/>
          <w:color w:val="auto"/>
        </w:rPr>
      </w:pPr>
    </w:p>
    <w:p>
      <w:pPr>
        <w:ind w:left="720"/>
        <w:spacing w:after="0"/>
        <w:rPr>
          <w:sz w:val="20"/>
          <w:szCs w:val="20"/>
          <w:color w:val="auto"/>
        </w:rPr>
      </w:pPr>
      <w:r>
        <w:rPr>
          <w:rFonts w:ascii="Arial" w:cs="Arial" w:eastAsia="Arial" w:hAnsi="Arial"/>
          <w:sz w:val="32"/>
          <w:szCs w:val="32"/>
          <w:color w:val="42B6E9"/>
        </w:rPr>
        <w:t>GOVERNANCE</w:t>
      </w:r>
    </w:p>
    <w:p>
      <w:pPr>
        <w:spacing w:after="0" w:line="10" w:lineRule="exact"/>
        <w:rPr>
          <w:sz w:val="20"/>
          <w:szCs w:val="20"/>
          <w:color w:val="auto"/>
        </w:rPr>
      </w:pPr>
    </w:p>
    <w:p>
      <w:pPr>
        <w:ind w:left="720"/>
        <w:spacing w:after="0"/>
        <w:rPr>
          <w:sz w:val="20"/>
          <w:szCs w:val="20"/>
          <w:color w:val="auto"/>
        </w:rPr>
      </w:pPr>
      <w:r>
        <w:rPr>
          <w:rFonts w:ascii="Arial" w:cs="Arial" w:eastAsia="Arial" w:hAnsi="Arial"/>
          <w:sz w:val="32"/>
          <w:szCs w:val="32"/>
          <w:color w:val="42B6E9"/>
        </w:rPr>
        <w:t>(continued)</w:t>
      </w:r>
    </w:p>
    <w:p>
      <w:pPr>
        <w:spacing w:after="0" w:line="378" w:lineRule="exact"/>
        <w:rPr>
          <w:sz w:val="20"/>
          <w:szCs w:val="20"/>
          <w:color w:val="auto"/>
        </w:rPr>
      </w:pPr>
    </w:p>
    <w:p>
      <w:pPr>
        <w:ind w:left="720"/>
        <w:spacing w:after="0"/>
        <w:rPr>
          <w:sz w:val="20"/>
          <w:szCs w:val="20"/>
          <w:color w:val="auto"/>
        </w:rPr>
      </w:pPr>
      <w:r>
        <w:rPr>
          <w:rFonts w:ascii="Arial" w:cs="Arial" w:eastAsia="Arial" w:hAnsi="Arial"/>
          <w:sz w:val="26"/>
          <w:szCs w:val="26"/>
          <w:color w:val="42B6E9"/>
        </w:rPr>
        <w:t>Non-Employee Directors</w:t>
      </w:r>
    </w:p>
    <w:p>
      <w:pPr>
        <w:spacing w:after="0" w:line="169" w:lineRule="exact"/>
        <w:rPr>
          <w:sz w:val="20"/>
          <w:szCs w:val="20"/>
          <w:color w:val="auto"/>
        </w:rPr>
      </w:pPr>
    </w:p>
    <w:p>
      <w:pPr>
        <w:ind w:left="720"/>
        <w:spacing w:after="0"/>
        <w:rPr>
          <w:sz w:val="20"/>
          <w:szCs w:val="20"/>
          <w:color w:val="auto"/>
        </w:rPr>
      </w:pPr>
      <w:r>
        <w:rPr>
          <w:rFonts w:ascii="Arial" w:cs="Arial" w:eastAsia="Arial" w:hAnsi="Arial"/>
          <w:sz w:val="16"/>
          <w:szCs w:val="16"/>
          <w:color w:val="42B6E9"/>
        </w:rPr>
        <w:t xml:space="preserve">Julie Bradley </w:t>
      </w:r>
      <w:r>
        <w:rPr>
          <w:rFonts w:ascii="Arial" w:cs="Arial" w:eastAsia="Arial" w:hAnsi="Arial"/>
          <w:sz w:val="16"/>
          <w:szCs w:val="16"/>
          <w:color w:val="000000"/>
        </w:rPr>
        <w:t>has served on our Board of Directors since October 2020. Ms. Bradley was previously the Chief Financial Officer of</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TripAdvisor, Inc., a publicly traded online travel planning site, from October 2011 to November 2015. Prior to joining TripAdvisor,</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Ms. Bradley also served as the Chief Financial Officer of Art Technology Group, Inc., a publicly traded ecommerce software company;</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as Vice President of Finance for Akamai Technologies, Inc., a publicly traded delivery network, cybersecurity, and cloud service</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company, from 2000 to 2005; and as an accountant at Deloitte &amp; Touche LLP. Ms. Bradley has served on the board of directors of</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Wayfair Inc., a publicly traded company, since September 2012, where she is the chair of the audit committee and a member of the</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governance committee, and GoodRx, a publicly traded company, since September 2020, where she is the chair of the audit</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committee, and previously served on the boards of other publicly traded companies, which include Blue Apron, Inc. from September</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2015 to October 2020, Constant Contact, Inc. from June 2015 to February 2016, and ExactTarget, Inc. from September 2012 to July</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2013. Ms. Bradley holds a B.A. from Wheaton College. We believe that Ms. Bradley is qualified to serve as member of our Board due</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 her extensive public company board experience and her finance experience at publicly traded technology companies.</w:t>
      </w:r>
    </w:p>
    <w:p>
      <w:pPr>
        <w:spacing w:after="0" w:line="167" w:lineRule="exact"/>
        <w:rPr>
          <w:sz w:val="20"/>
          <w:szCs w:val="20"/>
          <w:color w:val="auto"/>
        </w:rPr>
      </w:pPr>
    </w:p>
    <w:p>
      <w:pPr>
        <w:ind w:left="720" w:right="760"/>
        <w:spacing w:after="0" w:line="248" w:lineRule="auto"/>
        <w:rPr>
          <w:sz w:val="20"/>
          <w:szCs w:val="20"/>
          <w:color w:val="auto"/>
        </w:rPr>
      </w:pPr>
      <w:r>
        <w:rPr>
          <w:rFonts w:ascii="Arial" w:cs="Arial" w:eastAsia="Arial" w:hAnsi="Arial"/>
          <w:sz w:val="16"/>
          <w:szCs w:val="16"/>
          <w:color w:val="42B6E9"/>
        </w:rPr>
        <w:t xml:space="preserve">Ari Emanuel </w:t>
      </w:r>
      <w:r>
        <w:rPr>
          <w:rFonts w:ascii="Arial" w:cs="Arial" w:eastAsia="Arial" w:hAnsi="Arial"/>
          <w:sz w:val="16"/>
          <w:szCs w:val="16"/>
          <w:color w:val="000000"/>
        </w:rPr>
        <w:t>has served on our Board of Directors since November 2019. Mr. Emanuel has served as the CEO of Endeavor Group</w:t>
      </w:r>
      <w:r>
        <w:rPr>
          <w:rFonts w:ascii="Arial" w:cs="Arial" w:eastAsia="Arial" w:hAnsi="Arial"/>
          <w:sz w:val="16"/>
          <w:szCs w:val="16"/>
          <w:color w:val="42B6E9"/>
        </w:rPr>
        <w:t xml:space="preserve"> </w:t>
      </w:r>
      <w:r>
        <w:rPr>
          <w:rFonts w:ascii="Arial" w:cs="Arial" w:eastAsia="Arial" w:hAnsi="Arial"/>
          <w:sz w:val="16"/>
          <w:szCs w:val="16"/>
          <w:color w:val="000000"/>
        </w:rPr>
        <w:t>Holdings, a talent agency, since 2009 following the merger of the William Morris Agency and Endeavor Talent Agency, which he founded in 1995. Prior to founding Endeavor, Mr. Emanuel was a Partner at InterTalent, a talent agency, and a senior agent at ICM Partners, also a talent agency. He began his entertainment industry career at Creative Artists Agency (CAA), a talent agency. He has served as a member of the board of directors of Live Nation Entertainment, Inc. since 2007. Mr. Emanuel holds a bachelor’s degree from Macalester College. We believe that Mr. Emanuel is qualified to serve as a member of our Board due to his extensive leadership experience.</w:t>
      </w:r>
    </w:p>
    <w:p>
      <w:pPr>
        <w:spacing w:after="0" w:line="154" w:lineRule="exact"/>
        <w:rPr>
          <w:sz w:val="20"/>
          <w:szCs w:val="20"/>
          <w:color w:val="auto"/>
        </w:rPr>
      </w:pPr>
    </w:p>
    <w:p>
      <w:pPr>
        <w:ind w:left="720" w:right="780"/>
        <w:spacing w:after="0" w:line="249" w:lineRule="auto"/>
        <w:rPr>
          <w:sz w:val="20"/>
          <w:szCs w:val="20"/>
          <w:color w:val="auto"/>
        </w:rPr>
      </w:pPr>
      <w:r>
        <w:rPr>
          <w:rFonts w:ascii="Arial" w:cs="Arial" w:eastAsia="Arial" w:hAnsi="Arial"/>
          <w:sz w:val="16"/>
          <w:szCs w:val="16"/>
          <w:color w:val="42B6E9"/>
        </w:rPr>
        <w:t xml:space="preserve">Joe Lonsdale </w:t>
      </w:r>
      <w:r>
        <w:rPr>
          <w:rFonts w:ascii="Arial" w:cs="Arial" w:eastAsia="Arial" w:hAnsi="Arial"/>
          <w:sz w:val="16"/>
          <w:szCs w:val="16"/>
          <w:color w:val="000000"/>
        </w:rPr>
        <w:t>has served on our Board of Directors since May 2012. Mr. Lonsdale is a partner at 8VC, a venture capital firm that he</w:t>
      </w:r>
      <w:r>
        <w:rPr>
          <w:rFonts w:ascii="Arial" w:cs="Arial" w:eastAsia="Arial" w:hAnsi="Arial"/>
          <w:sz w:val="16"/>
          <w:szCs w:val="16"/>
          <w:color w:val="42B6E9"/>
        </w:rPr>
        <w:t xml:space="preserve"> </w:t>
      </w:r>
      <w:r>
        <w:rPr>
          <w:rFonts w:ascii="Arial" w:cs="Arial" w:eastAsia="Arial" w:hAnsi="Arial"/>
          <w:sz w:val="16"/>
          <w:szCs w:val="16"/>
          <w:color w:val="000000"/>
        </w:rPr>
        <w:t>founded in 2015. Previously, he co-founded Palantir Technologies, a global software company known for its work in defense and finance; Addepar, an investment management technology company; and OpenGov, a software company that offers solutions for the public sector. He was a founding partner at Formation8, a venture capital firm with a presence in the U.S. and Asia, and he served as a Principal at Clarium Capital. Mr. Lonsdale holds a B.S. in Computer Science from Stanford University. We believe that Mr. Lonsdale is qualified to serve as a member of our Board due to his extensive experience with technology companies.</w:t>
      </w:r>
    </w:p>
    <w:p>
      <w:pPr>
        <w:spacing w:after="0" w:line="151" w:lineRule="exact"/>
        <w:rPr>
          <w:sz w:val="20"/>
          <w:szCs w:val="20"/>
          <w:color w:val="auto"/>
        </w:rPr>
      </w:pPr>
    </w:p>
    <w:p>
      <w:pPr>
        <w:ind w:left="720" w:right="840"/>
        <w:spacing w:after="0" w:line="248" w:lineRule="auto"/>
        <w:rPr>
          <w:sz w:val="20"/>
          <w:szCs w:val="20"/>
          <w:color w:val="auto"/>
        </w:rPr>
      </w:pPr>
      <w:r>
        <w:rPr>
          <w:rFonts w:ascii="Arial" w:cs="Arial" w:eastAsia="Arial" w:hAnsi="Arial"/>
          <w:sz w:val="16"/>
          <w:szCs w:val="16"/>
          <w:color w:val="42B6E9"/>
        </w:rPr>
        <w:t xml:space="preserve">Tanzeen Syed </w:t>
      </w:r>
      <w:r>
        <w:rPr>
          <w:rFonts w:ascii="Arial" w:cs="Arial" w:eastAsia="Arial" w:hAnsi="Arial"/>
          <w:sz w:val="16"/>
          <w:szCs w:val="16"/>
          <w:color w:val="000000"/>
        </w:rPr>
        <w:t>has served on our Board of Directors since October 2016 and as Lead Independent Director since our initial public</w:t>
      </w:r>
      <w:r>
        <w:rPr>
          <w:rFonts w:ascii="Arial" w:cs="Arial" w:eastAsia="Arial" w:hAnsi="Arial"/>
          <w:sz w:val="16"/>
          <w:szCs w:val="16"/>
          <w:color w:val="42B6E9"/>
        </w:rPr>
        <w:t xml:space="preserve"> </w:t>
      </w:r>
      <w:r>
        <w:rPr>
          <w:rFonts w:ascii="Arial" w:cs="Arial" w:eastAsia="Arial" w:hAnsi="Arial"/>
          <w:sz w:val="16"/>
          <w:szCs w:val="16"/>
          <w:color w:val="000000"/>
        </w:rPr>
        <w:t>offering in December 2020. Mr. Syed is a Managing Director at General Atlantic and focuses on investments in General Atlantic’s Technology sector. He rejoined General Atlantic in June 2018 after working there from 2006 to September 2013. Prior to rejoining General Atlantic, Mr. Syed was a Director at Temasek, an investment company, from July 2015 until June 2018, where he led U.S. technology growth investments. Prior to Temasek, Mr. Syed was a Vice President at Great Hill Partners from October 2013 to June 2015, where he focused on Internet and software growth investing. Mr. Syed currently serves on the boards of directors of Kiwi.com, s.r.o., an online travel booking platform; and Riskified Ltd., a payment fraud management solution for online merchants, marketplaces, e-travel retailers, digital goods, and services providers; both of which are private portfolio companies of General Atlantic. Mr. Syed holds a B.A. in Economics and Political Science from Macalester College. We believe that Mr. Syed is qualified to serve as a member of our Board due to his extensive experience with ecommerce and technology companies.</w:t>
      </w:r>
    </w:p>
    <w:p>
      <w:pPr>
        <w:spacing w:after="0" w:line="151" w:lineRule="exact"/>
        <w:rPr>
          <w:sz w:val="20"/>
          <w:szCs w:val="20"/>
          <w:color w:val="auto"/>
        </w:rPr>
      </w:pPr>
    </w:p>
    <w:p>
      <w:pPr>
        <w:ind w:left="720" w:right="780"/>
        <w:spacing w:after="0" w:line="247" w:lineRule="auto"/>
        <w:rPr>
          <w:sz w:val="20"/>
          <w:szCs w:val="20"/>
          <w:color w:val="auto"/>
        </w:rPr>
      </w:pPr>
      <w:r>
        <w:rPr>
          <w:rFonts w:ascii="Arial" w:cs="Arial" w:eastAsia="Arial" w:hAnsi="Arial"/>
          <w:sz w:val="16"/>
          <w:szCs w:val="16"/>
          <w:color w:val="42B6E9"/>
        </w:rPr>
        <w:t xml:space="preserve">Stephanie Tilenius </w:t>
      </w:r>
      <w:r>
        <w:rPr>
          <w:rFonts w:ascii="Arial" w:cs="Arial" w:eastAsia="Arial" w:hAnsi="Arial"/>
          <w:sz w:val="16"/>
          <w:szCs w:val="16"/>
          <w:color w:val="000000"/>
        </w:rPr>
        <w:t>has served on our Board of Directors since August 2020. She is currently the CEO of Vida Health, Inc., a mobile</w:t>
      </w:r>
      <w:r>
        <w:rPr>
          <w:rFonts w:ascii="Arial" w:cs="Arial" w:eastAsia="Arial" w:hAnsi="Arial"/>
          <w:sz w:val="16"/>
          <w:szCs w:val="16"/>
          <w:color w:val="42B6E9"/>
        </w:rPr>
        <w:t xml:space="preserve"> </w:t>
      </w:r>
      <w:r>
        <w:rPr>
          <w:rFonts w:ascii="Arial" w:cs="Arial" w:eastAsia="Arial" w:hAnsi="Arial"/>
          <w:sz w:val="16"/>
          <w:szCs w:val="16"/>
          <w:color w:val="000000"/>
        </w:rPr>
        <w:t>continuous healthcare platform, which she founded in January 2014. Ms. Tilenius was an Executive in Residence at Kleiner Perkins Caufield &amp; Byers, a venture capital firm, from June 2012 until October 2014, primarily focusing on companies within its Digital Growth Fund. From February 2010 until June 2012, Ms. Tilenius was Vice President of Global Commerce and Payments at Google, Inc., a technology company, where she oversaw digital commerce, product search, and payments. Prior to joining Google, she served in various positions at eBay Inc. from March 2001 until October 2009, ultimately as Senior Vice President of eBay.com and Global Products. Ms. Tilenius was also a co-founder of PlanetRx.com, an online healthcare provider. She currently serves on the board of directors of SeaGate Technology PLC and Tradesy, a privately-held ecommerce company focused on women’s fashion, and within the past five years, served on the board of directors of Coach Inc. and Redbubble Limited. Ms. Tilenius holds a B.A. and an M.A from Brandeis University and an M.B.A. from the Harvard Business School. We believe that Ms. Tilenius is qualified to serve as a member of our Board due to her senior executive experience in the consumer Internet and ecommerce sectors, as a company founder and as a board member for other public and private companies.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80" w:type="dxa"/>
            <w:vAlign w:val="bottom"/>
          </w:tcPr>
          <w:p>
            <w:pPr>
              <w:ind w:left="4100"/>
              <w:spacing w:after="0"/>
              <w:rPr>
                <w:sz w:val="20"/>
                <w:szCs w:val="20"/>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tc>
        <w:tc>
          <w:tcPr>
            <w:tcW w:w="1040" w:type="dxa"/>
            <w:vAlign w:val="bottom"/>
          </w:tcPr>
          <w:p>
            <w:pPr>
              <w:jc w:val="right"/>
              <w:ind w:right="648"/>
              <w:spacing w:after="0"/>
              <w:rPr>
                <w:sz w:val="20"/>
                <w:szCs w:val="20"/>
                <w:color w:val="auto"/>
              </w:rPr>
            </w:pPr>
            <w:r>
              <w:rPr>
                <w:rFonts w:ascii="Arial" w:cs="Arial" w:eastAsia="Arial" w:hAnsi="Arial"/>
                <w:sz w:val="14"/>
                <w:szCs w:val="14"/>
                <w:b w:val="1"/>
                <w:bCs w:val="1"/>
                <w:color w:val="auto"/>
              </w:rPr>
              <w:t>7</w:t>
            </w:r>
          </w:p>
        </w:tc>
      </w:tr>
      <w:tr>
        <w:trPr>
          <w:trHeight w:val="167"/>
        </w:trPr>
        <w:tc>
          <w:tcPr>
            <w:tcW w:w="99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12" w:name="page13"/>
    <w:bookmarkEnd w:id="12"/>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42B6E9"/>
        </w:rPr>
        <w:t>DIRECTORS, EXECUTIVE OFFICERS, AND CORPORATE</w:t>
      </w:r>
    </w:p>
    <w:p>
      <w:pPr>
        <w:spacing w:after="0" w:line="10" w:lineRule="exact"/>
        <w:rPr>
          <w:sz w:val="20"/>
          <w:szCs w:val="20"/>
          <w:color w:val="auto"/>
        </w:rPr>
      </w:pPr>
    </w:p>
    <w:p>
      <w:pPr>
        <w:ind w:left="4"/>
        <w:spacing w:after="0"/>
        <w:rPr>
          <w:sz w:val="20"/>
          <w:szCs w:val="20"/>
          <w:color w:val="auto"/>
        </w:rPr>
      </w:pPr>
      <w:r>
        <w:rPr>
          <w:rFonts w:ascii="Arial" w:cs="Arial" w:eastAsia="Arial" w:hAnsi="Arial"/>
          <w:sz w:val="32"/>
          <w:szCs w:val="32"/>
          <w:color w:val="42B6E9"/>
        </w:rPr>
        <w:t>GOVERNANCE</w:t>
      </w:r>
    </w:p>
    <w:p>
      <w:pPr>
        <w:spacing w:after="0" w:line="10" w:lineRule="exact"/>
        <w:rPr>
          <w:sz w:val="20"/>
          <w:szCs w:val="20"/>
          <w:color w:val="auto"/>
        </w:rPr>
      </w:pPr>
    </w:p>
    <w:p>
      <w:pPr>
        <w:ind w:left="4"/>
        <w:spacing w:after="0"/>
        <w:rPr>
          <w:sz w:val="20"/>
          <w:szCs w:val="20"/>
          <w:color w:val="auto"/>
        </w:rPr>
      </w:pPr>
      <w:r>
        <w:rPr>
          <w:rFonts w:ascii="Arial" w:cs="Arial" w:eastAsia="Arial" w:hAnsi="Arial"/>
          <w:sz w:val="32"/>
          <w:szCs w:val="32"/>
          <w:color w:val="42B6E9"/>
        </w:rPr>
        <w:t>(continued)</w:t>
      </w:r>
    </w:p>
    <w:p>
      <w:pPr>
        <w:spacing w:after="0" w:line="386" w:lineRule="exact"/>
        <w:rPr>
          <w:sz w:val="20"/>
          <w:szCs w:val="20"/>
          <w:color w:val="auto"/>
        </w:rPr>
      </w:pPr>
    </w:p>
    <w:p>
      <w:pPr>
        <w:ind w:left="4"/>
        <w:spacing w:after="0" w:line="248" w:lineRule="auto"/>
        <w:rPr>
          <w:sz w:val="20"/>
          <w:szCs w:val="20"/>
          <w:color w:val="auto"/>
        </w:rPr>
      </w:pPr>
      <w:r>
        <w:rPr>
          <w:rFonts w:ascii="Arial" w:cs="Arial" w:eastAsia="Arial" w:hAnsi="Arial"/>
          <w:sz w:val="16"/>
          <w:szCs w:val="16"/>
          <w:color w:val="42B6E9"/>
        </w:rPr>
        <w:t xml:space="preserve">Hans Tung </w:t>
      </w:r>
      <w:r>
        <w:rPr>
          <w:rFonts w:ascii="Arial" w:cs="Arial" w:eastAsia="Arial" w:hAnsi="Arial"/>
          <w:sz w:val="16"/>
          <w:szCs w:val="16"/>
          <w:color w:val="000000"/>
        </w:rPr>
        <w:t>has served on our Board of Directors since January 2014. Mr. Tung is a Managing Partner at GGV Capital, a venture</w:t>
      </w:r>
      <w:r>
        <w:rPr>
          <w:rFonts w:ascii="Arial" w:cs="Arial" w:eastAsia="Arial" w:hAnsi="Arial"/>
          <w:sz w:val="16"/>
          <w:szCs w:val="16"/>
          <w:color w:val="42B6E9"/>
        </w:rPr>
        <w:t xml:space="preserve"> </w:t>
      </w:r>
      <w:r>
        <w:rPr>
          <w:rFonts w:ascii="Arial" w:cs="Arial" w:eastAsia="Arial" w:hAnsi="Arial"/>
          <w:sz w:val="16"/>
          <w:szCs w:val="16"/>
          <w:color w:val="000000"/>
        </w:rPr>
        <w:t>capital firm, where he has worked since October 2013, in Menlo Park, California. Prior to joining GGV, Mr. Tung was a managing partner at Qiming Venture Partners, a venture capital firm, in Shanghai, China. Mr. Tung began his VC career with Bessemer Venture Partners, a venture capital firm, in Menlo Park, California, and was a former entrepreneur himself and a former technology banker at Merrill Lynch in New York and Hong Kong. Mr. Tung has served on the board of directors of companies including musical.ly, Poshmark (Nasdaq: POSH), StockX, Misfit, Xiaomi, eHi Car Service, Vedantu, and Rupeek. He holds a B.S. in Management Science and Engineering from Stanford University. We believe that Mr. Tung is qualified to serve as a member of our Board due to his extensive experience with ecommerce companies, as well as his experience as a venture capitalist investing in technology companies.</w:t>
      </w:r>
    </w:p>
    <w:p>
      <w:pPr>
        <w:spacing w:after="0" w:line="342" w:lineRule="exact"/>
        <w:rPr>
          <w:sz w:val="20"/>
          <w:szCs w:val="20"/>
          <w:color w:val="auto"/>
        </w:rPr>
      </w:pPr>
    </w:p>
    <w:p>
      <w:pPr>
        <w:ind w:left="4"/>
        <w:spacing w:after="0" w:line="247" w:lineRule="auto"/>
        <w:rPr>
          <w:sz w:val="20"/>
          <w:szCs w:val="20"/>
          <w:color w:val="auto"/>
        </w:rPr>
      </w:pPr>
      <w:r>
        <w:rPr>
          <w:rFonts w:ascii="Arial" w:cs="Arial" w:eastAsia="Arial" w:hAnsi="Arial"/>
          <w:sz w:val="16"/>
          <w:szCs w:val="16"/>
          <w:color w:val="42B6E9"/>
        </w:rPr>
        <w:t xml:space="preserve">Jacqueline Reses </w:t>
      </w:r>
      <w:r>
        <w:rPr>
          <w:rFonts w:ascii="Arial" w:cs="Arial" w:eastAsia="Arial" w:hAnsi="Arial"/>
          <w:sz w:val="16"/>
          <w:szCs w:val="16"/>
          <w:color w:val="000000"/>
        </w:rPr>
        <w:t>has served on our Board of Directors since December 2020. Ms. Reses previously served as Executive Chairman</w:t>
      </w:r>
      <w:r>
        <w:rPr>
          <w:rFonts w:ascii="Arial" w:cs="Arial" w:eastAsia="Arial" w:hAnsi="Arial"/>
          <w:sz w:val="16"/>
          <w:szCs w:val="16"/>
          <w:color w:val="42B6E9"/>
        </w:rPr>
        <w:t xml:space="preserve"> </w:t>
      </w:r>
      <w:r>
        <w:rPr>
          <w:rFonts w:ascii="Arial" w:cs="Arial" w:eastAsia="Arial" w:hAnsi="Arial"/>
          <w:sz w:val="16"/>
          <w:szCs w:val="16"/>
          <w:color w:val="000000"/>
        </w:rPr>
        <w:t>of Square Financial Services LLC and Capital Lead at Square, Inc., a publicly traded financial services company which provides payments, point of sale, and cashflow management services to small businesses and consumers, from October 2015 until October 2020. From February 2016 to July 2018, Ms. Reses also served as People Lead for Square, Inc. From September 2012 to October 2015, Ms. Reses served as Chief Development Officer of Yahoo! Inc. In this role, she focused on leading partnerships, acquisitions and investments, significant corporate tax transactions, as well as human resources. Prior to Yahoo, Ms. Reses led the U.S. media group as a Partner at Apax Partners Worldwide LLP, a global private equity firm, which she joined in 2001. Ms. Reses serves on the board of directors of Pershing Square Tontine Holdings, Ltd., and Affirm Inc. Ms. Reses is also the chair of the Economic Advisory Council of the Federal Reserve Bank of San Francisco. Ms. Reses previously served on the board of directors of Social Capital Hedosophia Holdings Corp. III, Alibaba Group Holding Limited, and Social Capital Hedosophia Holding Corp. Ms. Reses holds a B.S. in Economics with honors from the Wharton School of the University of Pennsylvania. We believe that Ms. Reses is qualified to serve as member of our Board due to her public company board experience and her experience in various strategic and finance roles at publicly traded finance, ecommerce, and technology companies.</w:t>
      </w:r>
    </w:p>
    <w:p>
      <w:pPr>
        <w:spacing w:after="0" w:line="365" w:lineRule="exact"/>
        <w:rPr>
          <w:sz w:val="20"/>
          <w:szCs w:val="20"/>
          <w:color w:val="auto"/>
        </w:rPr>
      </w:pPr>
    </w:p>
    <w:p>
      <w:pPr>
        <w:ind w:left="4"/>
        <w:spacing w:after="0"/>
        <w:rPr>
          <w:sz w:val="20"/>
          <w:szCs w:val="20"/>
          <w:color w:val="auto"/>
        </w:rPr>
      </w:pPr>
      <w:r>
        <w:rPr>
          <w:rFonts w:ascii="Arial" w:cs="Arial" w:eastAsia="Arial" w:hAnsi="Arial"/>
          <w:sz w:val="26"/>
          <w:szCs w:val="26"/>
          <w:color w:val="42B6E9"/>
        </w:rPr>
        <w:t>Corporate Governance and Board Matters</w:t>
      </w:r>
    </w:p>
    <w:p>
      <w:pPr>
        <w:spacing w:after="0" w:line="33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42B6E9"/>
        </w:rPr>
        <w:t>Director Independence</w:t>
      </w:r>
    </w:p>
    <w:p>
      <w:pPr>
        <w:spacing w:after="0" w:line="66" w:lineRule="exact"/>
        <w:rPr>
          <w:sz w:val="20"/>
          <w:szCs w:val="20"/>
          <w:color w:val="auto"/>
        </w:rPr>
      </w:pPr>
    </w:p>
    <w:p>
      <w:pPr>
        <w:ind w:left="4" w:right="120"/>
        <w:spacing w:after="0" w:line="248" w:lineRule="auto"/>
        <w:rPr>
          <w:sz w:val="20"/>
          <w:szCs w:val="20"/>
          <w:color w:val="auto"/>
        </w:rPr>
      </w:pPr>
      <w:r>
        <w:rPr>
          <w:rFonts w:ascii="Arial" w:cs="Arial" w:eastAsia="Arial" w:hAnsi="Arial"/>
          <w:sz w:val="16"/>
          <w:szCs w:val="16"/>
          <w:color w:val="auto"/>
        </w:rPr>
        <w:t>As required under the listing standards of the Nasdaq Select Global Market (“Nasdaq”), a majority of the members of a listed company’s Board of Directors must be independent within 12 months following the closing of an initial public offering. Management and outside counsel have reviewed the directors’ responses to a questionnaire asking about their transactions, relationships, and arrangements with the Company (and those of their immediate family members), and other potential conflicts of interest. Other than as set forth in this Proxy Statement, these questionnaires did not disclose any transactions, relationships, or arrangements that question or compromise the independence of our directors or director nominees. After reviewing this information, our Board of Directors affirmatively determined that each of our non-employee directors was an independent director within the meaning of the applicable Nasdaq listing standards in 2020. The independent members of our Board of Directors will hold separate regularly scheduled executive session meetings at which only independent directors are present.</w:t>
      </w:r>
    </w:p>
    <w:p>
      <w:pPr>
        <w:spacing w:after="0" w:line="191" w:lineRule="exact"/>
        <w:rPr>
          <w:sz w:val="20"/>
          <w:szCs w:val="20"/>
          <w:color w:val="auto"/>
        </w:rPr>
      </w:pPr>
    </w:p>
    <w:p>
      <w:pPr>
        <w:ind w:left="544" w:hanging="544"/>
        <w:spacing w:after="0"/>
        <w:tabs>
          <w:tab w:leader="none" w:pos="544"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4"/>
          </w:cols>
          <w:pgMar w:left="1156" w:top="265" w:right="1219" w:bottom="1440" w:gutter="0" w:footer="0" w:header="0"/>
        </w:sectPr>
      </w:pPr>
    </w:p>
    <w:bookmarkStart w:id="13" w:name="page14"/>
    <w:bookmarkEnd w:id="13"/>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42B6E9"/>
        </w:rPr>
        <w:t>DIRECTORS, EXECUTIVE OFFICERS, AND CORPORATE</w:t>
      </w:r>
    </w:p>
    <w:p>
      <w:pPr>
        <w:spacing w:after="0" w:line="10" w:lineRule="exact"/>
        <w:rPr>
          <w:sz w:val="20"/>
          <w:szCs w:val="20"/>
          <w:color w:val="auto"/>
        </w:rPr>
      </w:pPr>
    </w:p>
    <w:p>
      <w:pPr>
        <w:ind w:left="4"/>
        <w:spacing w:after="0"/>
        <w:rPr>
          <w:sz w:val="20"/>
          <w:szCs w:val="20"/>
          <w:color w:val="auto"/>
        </w:rPr>
      </w:pPr>
      <w:r>
        <w:rPr>
          <w:rFonts w:ascii="Arial" w:cs="Arial" w:eastAsia="Arial" w:hAnsi="Arial"/>
          <w:sz w:val="32"/>
          <w:szCs w:val="32"/>
          <w:color w:val="42B6E9"/>
        </w:rPr>
        <w:t>GOVERNANCE</w:t>
      </w:r>
    </w:p>
    <w:p>
      <w:pPr>
        <w:spacing w:after="0" w:line="10" w:lineRule="exact"/>
        <w:rPr>
          <w:sz w:val="20"/>
          <w:szCs w:val="20"/>
          <w:color w:val="auto"/>
        </w:rPr>
      </w:pPr>
    </w:p>
    <w:p>
      <w:pPr>
        <w:ind w:left="4"/>
        <w:spacing w:after="0"/>
        <w:rPr>
          <w:sz w:val="20"/>
          <w:szCs w:val="20"/>
          <w:color w:val="auto"/>
        </w:rPr>
      </w:pPr>
      <w:r>
        <w:rPr>
          <w:rFonts w:ascii="Arial" w:cs="Arial" w:eastAsia="Arial" w:hAnsi="Arial"/>
          <w:sz w:val="32"/>
          <w:szCs w:val="32"/>
          <w:color w:val="42B6E9"/>
        </w:rPr>
        <w:t>(continued)</w:t>
      </w:r>
    </w:p>
    <w:p>
      <w:pPr>
        <w:spacing w:after="0" w:line="36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42B6E9"/>
        </w:rPr>
        <w:t>Information Regarding the Board of Directors and its Committees</w:t>
      </w:r>
    </w:p>
    <w:p>
      <w:pPr>
        <w:spacing w:after="0" w:line="52" w:lineRule="exact"/>
        <w:rPr>
          <w:sz w:val="20"/>
          <w:szCs w:val="20"/>
          <w:color w:val="auto"/>
        </w:rPr>
      </w:pPr>
    </w:p>
    <w:p>
      <w:pPr>
        <w:ind w:left="4" w:right="100"/>
        <w:spacing w:after="0" w:line="250" w:lineRule="auto"/>
        <w:rPr>
          <w:sz w:val="20"/>
          <w:szCs w:val="20"/>
          <w:color w:val="auto"/>
        </w:rPr>
      </w:pPr>
      <w:r>
        <w:rPr>
          <w:rFonts w:ascii="Arial" w:cs="Arial" w:eastAsia="Arial" w:hAnsi="Arial"/>
          <w:sz w:val="16"/>
          <w:szCs w:val="16"/>
          <w:color w:val="auto"/>
        </w:rPr>
        <w:t>As required under Nasdaq listing standards, our independent directors meet in regularly scheduled executive sessions at which only independent directors are present. Our initial public offering closed in December 2020 and we did not hold any Board meetings in 2020 after our initial public offering. After our initial public offering, our Board of Directors had an Audit Committee, a Compensation Committee, and a Nominating and Corporate Governance Committee. The following table provides membership information for each Board committee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41910</wp:posOffset>
            </wp:positionV>
            <wp:extent cx="6077585" cy="2211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77585" cy="2211705"/>
                    </a:xfrm>
                    <a:prstGeom prst="rect">
                      <a:avLst/>
                    </a:prstGeom>
                    <a:noFill/>
                  </pic:spPr>
                </pic:pic>
              </a:graphicData>
            </a:graphic>
          </wp:anchor>
        </w:drawing>
      </w:r>
    </w:p>
    <w:p>
      <w:pPr>
        <w:spacing w:after="0" w:line="46"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2380" w:type="dxa"/>
            <w:vAlign w:val="bottom"/>
            <w:shd w:val="clear" w:color="auto" w:fill="42B6E9"/>
          </w:tcPr>
          <w:p>
            <w:pPr>
              <w:spacing w:after="0"/>
              <w:rPr>
                <w:sz w:val="22"/>
                <w:szCs w:val="22"/>
                <w:color w:val="auto"/>
              </w:rPr>
            </w:pPr>
          </w:p>
        </w:tc>
        <w:tc>
          <w:tcPr>
            <w:tcW w:w="2340" w:type="dxa"/>
            <w:vAlign w:val="bottom"/>
            <w:shd w:val="clear" w:color="auto" w:fill="42B6E9"/>
          </w:tcPr>
          <w:p>
            <w:pPr>
              <w:spacing w:after="0"/>
              <w:rPr>
                <w:sz w:val="22"/>
                <w:szCs w:val="22"/>
                <w:color w:val="auto"/>
              </w:rPr>
            </w:pPr>
          </w:p>
        </w:tc>
        <w:tc>
          <w:tcPr>
            <w:tcW w:w="2480" w:type="dxa"/>
            <w:vAlign w:val="bottom"/>
            <w:shd w:val="clear" w:color="auto" w:fill="42B6E9"/>
          </w:tcPr>
          <w:p>
            <w:pPr>
              <w:spacing w:after="0"/>
              <w:rPr>
                <w:sz w:val="22"/>
                <w:szCs w:val="22"/>
                <w:color w:val="auto"/>
              </w:rPr>
            </w:pPr>
          </w:p>
        </w:tc>
        <w:tc>
          <w:tcPr>
            <w:tcW w:w="2360" w:type="dxa"/>
            <w:vAlign w:val="bottom"/>
            <w:shd w:val="clear" w:color="auto" w:fill="42B6E9"/>
          </w:tcPr>
          <w:p>
            <w:pPr>
              <w:jc w:val="center"/>
              <w:ind w:right="24"/>
              <w:spacing w:after="0"/>
              <w:rPr>
                <w:sz w:val="20"/>
                <w:szCs w:val="20"/>
                <w:color w:val="auto"/>
              </w:rPr>
            </w:pPr>
            <w:r>
              <w:rPr>
                <w:rFonts w:ascii="Arial" w:cs="Arial" w:eastAsia="Arial" w:hAnsi="Arial"/>
                <w:sz w:val="14"/>
                <w:szCs w:val="14"/>
                <w:b w:val="1"/>
                <w:bCs w:val="1"/>
                <w:color w:val="FFFFFF"/>
              </w:rPr>
              <w:t>Nominating</w:t>
            </w:r>
          </w:p>
        </w:tc>
      </w:tr>
      <w:tr>
        <w:trPr>
          <w:trHeight w:val="162"/>
        </w:trPr>
        <w:tc>
          <w:tcPr>
            <w:tcW w:w="2380" w:type="dxa"/>
            <w:vAlign w:val="bottom"/>
            <w:shd w:val="clear" w:color="auto" w:fill="42B6E9"/>
          </w:tcPr>
          <w:p>
            <w:pPr>
              <w:spacing w:after="0"/>
              <w:rPr>
                <w:sz w:val="14"/>
                <w:szCs w:val="14"/>
                <w:color w:val="auto"/>
              </w:rPr>
            </w:pPr>
          </w:p>
        </w:tc>
        <w:tc>
          <w:tcPr>
            <w:tcW w:w="2340" w:type="dxa"/>
            <w:vAlign w:val="bottom"/>
            <w:shd w:val="clear" w:color="auto" w:fill="42B6E9"/>
          </w:tcPr>
          <w:p>
            <w:pPr>
              <w:spacing w:after="0"/>
              <w:rPr>
                <w:sz w:val="14"/>
                <w:szCs w:val="14"/>
                <w:color w:val="auto"/>
              </w:rPr>
            </w:pPr>
          </w:p>
        </w:tc>
        <w:tc>
          <w:tcPr>
            <w:tcW w:w="2480" w:type="dxa"/>
            <w:vAlign w:val="bottom"/>
            <w:shd w:val="clear" w:color="auto" w:fill="42B6E9"/>
          </w:tcPr>
          <w:p>
            <w:pPr>
              <w:spacing w:after="0"/>
              <w:rPr>
                <w:sz w:val="14"/>
                <w:szCs w:val="14"/>
                <w:color w:val="auto"/>
              </w:rPr>
            </w:pPr>
          </w:p>
        </w:tc>
        <w:tc>
          <w:tcPr>
            <w:tcW w:w="2360" w:type="dxa"/>
            <w:vAlign w:val="bottom"/>
            <w:shd w:val="clear" w:color="auto" w:fill="42B6E9"/>
          </w:tcPr>
          <w:p>
            <w:pPr>
              <w:jc w:val="center"/>
              <w:ind w:right="24"/>
              <w:spacing w:after="0"/>
              <w:rPr>
                <w:sz w:val="20"/>
                <w:szCs w:val="20"/>
                <w:color w:val="auto"/>
              </w:rPr>
            </w:pPr>
            <w:r>
              <w:rPr>
                <w:rFonts w:ascii="Arial" w:cs="Arial" w:eastAsia="Arial" w:hAnsi="Arial"/>
                <w:sz w:val="14"/>
                <w:szCs w:val="14"/>
                <w:b w:val="1"/>
                <w:bCs w:val="1"/>
                <w:color w:val="FFFFFF"/>
              </w:rPr>
              <w:t>and</w:t>
            </w:r>
          </w:p>
        </w:tc>
      </w:tr>
      <w:tr>
        <w:trPr>
          <w:trHeight w:val="162"/>
        </w:trPr>
        <w:tc>
          <w:tcPr>
            <w:tcW w:w="2380" w:type="dxa"/>
            <w:vAlign w:val="bottom"/>
            <w:shd w:val="clear" w:color="auto" w:fill="42B6E9"/>
          </w:tcPr>
          <w:p>
            <w:pPr>
              <w:spacing w:after="0"/>
              <w:rPr>
                <w:sz w:val="14"/>
                <w:szCs w:val="14"/>
                <w:color w:val="auto"/>
              </w:rPr>
            </w:pPr>
          </w:p>
        </w:tc>
        <w:tc>
          <w:tcPr>
            <w:tcW w:w="2340" w:type="dxa"/>
            <w:vAlign w:val="bottom"/>
            <w:shd w:val="clear" w:color="auto" w:fill="42B6E9"/>
          </w:tcPr>
          <w:p>
            <w:pPr>
              <w:spacing w:after="0"/>
              <w:rPr>
                <w:sz w:val="14"/>
                <w:szCs w:val="14"/>
                <w:color w:val="auto"/>
              </w:rPr>
            </w:pPr>
          </w:p>
        </w:tc>
        <w:tc>
          <w:tcPr>
            <w:tcW w:w="2480" w:type="dxa"/>
            <w:vAlign w:val="bottom"/>
            <w:shd w:val="clear" w:color="auto" w:fill="42B6E9"/>
          </w:tcPr>
          <w:p>
            <w:pPr>
              <w:spacing w:after="0"/>
              <w:rPr>
                <w:sz w:val="14"/>
                <w:szCs w:val="14"/>
                <w:color w:val="auto"/>
              </w:rPr>
            </w:pPr>
          </w:p>
        </w:tc>
        <w:tc>
          <w:tcPr>
            <w:tcW w:w="2360" w:type="dxa"/>
            <w:vAlign w:val="bottom"/>
            <w:shd w:val="clear" w:color="auto" w:fill="42B6E9"/>
          </w:tcPr>
          <w:p>
            <w:pPr>
              <w:jc w:val="center"/>
              <w:ind w:right="24"/>
              <w:spacing w:after="0"/>
              <w:rPr>
                <w:sz w:val="20"/>
                <w:szCs w:val="20"/>
                <w:color w:val="auto"/>
              </w:rPr>
            </w:pPr>
            <w:r>
              <w:rPr>
                <w:rFonts w:ascii="Arial" w:cs="Arial" w:eastAsia="Arial" w:hAnsi="Arial"/>
                <w:sz w:val="14"/>
                <w:szCs w:val="14"/>
                <w:b w:val="1"/>
                <w:bCs w:val="1"/>
                <w:color w:val="FFFFFF"/>
              </w:rPr>
              <w:t>Corporate</w:t>
            </w:r>
          </w:p>
        </w:tc>
      </w:tr>
      <w:tr>
        <w:trPr>
          <w:trHeight w:val="190"/>
        </w:trPr>
        <w:tc>
          <w:tcPr>
            <w:tcW w:w="2380" w:type="dxa"/>
            <w:vAlign w:val="bottom"/>
            <w:shd w:val="clear" w:color="auto" w:fill="42B6E9"/>
          </w:tcPr>
          <w:p>
            <w:pPr>
              <w:ind w:left="980"/>
              <w:spacing w:after="0"/>
              <w:rPr>
                <w:sz w:val="20"/>
                <w:szCs w:val="20"/>
                <w:color w:val="auto"/>
              </w:rPr>
            </w:pPr>
            <w:r>
              <w:rPr>
                <w:rFonts w:ascii="Arial" w:cs="Arial" w:eastAsia="Arial" w:hAnsi="Arial"/>
                <w:sz w:val="14"/>
                <w:szCs w:val="14"/>
                <w:b w:val="1"/>
                <w:bCs w:val="1"/>
                <w:color w:val="FFFFFF"/>
              </w:rPr>
              <w:t>Name</w:t>
            </w:r>
          </w:p>
        </w:tc>
        <w:tc>
          <w:tcPr>
            <w:tcW w:w="234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Audit</w:t>
            </w:r>
          </w:p>
        </w:tc>
        <w:tc>
          <w:tcPr>
            <w:tcW w:w="248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Compensation</w:t>
            </w:r>
          </w:p>
        </w:tc>
        <w:tc>
          <w:tcPr>
            <w:tcW w:w="236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Governance</w:t>
            </w:r>
          </w:p>
        </w:tc>
      </w:tr>
      <w:tr>
        <w:trPr>
          <w:trHeight w:val="80"/>
        </w:trPr>
        <w:tc>
          <w:tcPr>
            <w:tcW w:w="2380" w:type="dxa"/>
            <w:vAlign w:val="bottom"/>
            <w:shd w:val="clear" w:color="auto" w:fill="42B6E9"/>
          </w:tcPr>
          <w:p>
            <w:pPr>
              <w:spacing w:after="0"/>
              <w:rPr>
                <w:sz w:val="6"/>
                <w:szCs w:val="6"/>
                <w:color w:val="auto"/>
              </w:rPr>
            </w:pPr>
          </w:p>
        </w:tc>
        <w:tc>
          <w:tcPr>
            <w:tcW w:w="2340" w:type="dxa"/>
            <w:vAlign w:val="bottom"/>
            <w:shd w:val="clear" w:color="auto" w:fill="42B6E9"/>
          </w:tcPr>
          <w:p>
            <w:pPr>
              <w:spacing w:after="0"/>
              <w:rPr>
                <w:sz w:val="6"/>
                <w:szCs w:val="6"/>
                <w:color w:val="auto"/>
              </w:rPr>
            </w:pPr>
          </w:p>
        </w:tc>
        <w:tc>
          <w:tcPr>
            <w:tcW w:w="2480" w:type="dxa"/>
            <w:vAlign w:val="bottom"/>
            <w:shd w:val="clear" w:color="auto" w:fill="42B6E9"/>
          </w:tcPr>
          <w:p>
            <w:pPr>
              <w:spacing w:after="0"/>
              <w:rPr>
                <w:sz w:val="6"/>
                <w:szCs w:val="6"/>
                <w:color w:val="auto"/>
              </w:rPr>
            </w:pPr>
          </w:p>
        </w:tc>
        <w:tc>
          <w:tcPr>
            <w:tcW w:w="2360" w:type="dxa"/>
            <w:vAlign w:val="bottom"/>
            <w:shd w:val="clear" w:color="auto" w:fill="42B6E9"/>
          </w:tcPr>
          <w:p>
            <w:pPr>
              <w:spacing w:after="0"/>
              <w:rPr>
                <w:sz w:val="6"/>
                <w:szCs w:val="6"/>
                <w:color w:val="auto"/>
              </w:rPr>
            </w:pPr>
          </w:p>
        </w:tc>
      </w:tr>
      <w:tr>
        <w:trPr>
          <w:trHeight w:val="309"/>
        </w:trPr>
        <w:tc>
          <w:tcPr>
            <w:tcW w:w="2380" w:type="dxa"/>
            <w:vAlign w:val="bottom"/>
            <w:shd w:val="clear" w:color="auto" w:fill="E9F8FD"/>
          </w:tcPr>
          <w:p>
            <w:pPr>
              <w:ind w:left="80"/>
              <w:spacing w:after="0"/>
              <w:rPr>
                <w:sz w:val="20"/>
                <w:szCs w:val="20"/>
                <w:color w:val="auto"/>
              </w:rPr>
            </w:pPr>
            <w:r>
              <w:rPr>
                <w:rFonts w:ascii="Arial" w:cs="Arial" w:eastAsia="Arial" w:hAnsi="Arial"/>
                <w:sz w:val="16"/>
                <w:szCs w:val="16"/>
                <w:color w:val="42B6E9"/>
              </w:rPr>
              <w:t>Julie Bradley</w:t>
            </w:r>
          </w:p>
        </w:tc>
        <w:tc>
          <w:tcPr>
            <w:tcW w:w="2340" w:type="dxa"/>
            <w:vAlign w:val="bottom"/>
            <w:shd w:val="clear" w:color="auto" w:fill="E9F8FD"/>
          </w:tcPr>
          <w:p>
            <w:pPr>
              <w:jc w:val="center"/>
              <w:ind w:left="1"/>
              <w:spacing w:after="0" w:line="184" w:lineRule="exact"/>
              <w:rPr>
                <w:sz w:val="20"/>
                <w:szCs w:val="20"/>
                <w:color w:val="auto"/>
              </w:rPr>
            </w:pPr>
            <w:r>
              <w:rPr>
                <w:rFonts w:ascii="MS PGothic" w:cs="MS PGothic" w:eastAsia="MS PGothic" w:hAnsi="MS PGothic"/>
                <w:sz w:val="16"/>
                <w:szCs w:val="16"/>
                <w:color w:val="000000"/>
                <w:w w:val="98"/>
                <w:shd w:val="clear" w:color="auto" w:fill="42B6E9"/>
              </w:rPr>
              <w:t>★</w:t>
            </w:r>
            <w:r>
              <w:rPr>
                <w:rFonts w:ascii="Arial" w:cs="Arial" w:eastAsia="Arial" w:hAnsi="Arial"/>
                <w:sz w:val="16"/>
                <w:szCs w:val="16"/>
                <w:color w:val="42B6E9"/>
                <w:w w:val="98"/>
              </w:rPr>
              <w:t>*</w:t>
            </w:r>
          </w:p>
        </w:tc>
        <w:tc>
          <w:tcPr>
            <w:tcW w:w="2480" w:type="dxa"/>
            <w:vAlign w:val="bottom"/>
            <w:shd w:val="clear" w:color="auto" w:fill="E9F8FD"/>
          </w:tcPr>
          <w:p>
            <w:pPr>
              <w:spacing w:after="0"/>
              <w:rPr>
                <w:sz w:val="24"/>
                <w:szCs w:val="24"/>
                <w:color w:val="auto"/>
              </w:rPr>
            </w:pPr>
          </w:p>
        </w:tc>
        <w:tc>
          <w:tcPr>
            <w:tcW w:w="2360" w:type="dxa"/>
            <w:vAlign w:val="bottom"/>
            <w:shd w:val="clear" w:color="auto" w:fill="E9F8FD"/>
          </w:tcPr>
          <w:p>
            <w:pPr>
              <w:spacing w:after="0"/>
              <w:rPr>
                <w:sz w:val="24"/>
                <w:szCs w:val="24"/>
                <w:color w:val="auto"/>
              </w:rPr>
            </w:pPr>
          </w:p>
        </w:tc>
      </w:tr>
      <w:tr>
        <w:trPr>
          <w:trHeight w:val="378"/>
        </w:trPr>
        <w:tc>
          <w:tcPr>
            <w:tcW w:w="2380" w:type="dxa"/>
            <w:vAlign w:val="bottom"/>
            <w:shd w:val="clear" w:color="auto" w:fill="E9F8FD"/>
          </w:tcPr>
          <w:p>
            <w:pPr>
              <w:ind w:left="80"/>
              <w:spacing w:after="0"/>
              <w:rPr>
                <w:sz w:val="20"/>
                <w:szCs w:val="20"/>
                <w:color w:val="auto"/>
              </w:rPr>
            </w:pPr>
            <w:r>
              <w:rPr>
                <w:rFonts w:ascii="Arial" w:cs="Arial" w:eastAsia="Arial" w:hAnsi="Arial"/>
                <w:sz w:val="16"/>
                <w:szCs w:val="16"/>
                <w:color w:val="42B6E9"/>
              </w:rPr>
              <w:t>Ari Emanuel</w:t>
            </w:r>
          </w:p>
        </w:tc>
        <w:tc>
          <w:tcPr>
            <w:tcW w:w="2340" w:type="dxa"/>
            <w:vAlign w:val="bottom"/>
            <w:shd w:val="clear" w:color="auto" w:fill="E9F8FD"/>
          </w:tcPr>
          <w:p>
            <w:pPr>
              <w:spacing w:after="0"/>
              <w:rPr>
                <w:sz w:val="24"/>
                <w:szCs w:val="24"/>
                <w:color w:val="auto"/>
              </w:rPr>
            </w:pPr>
          </w:p>
        </w:tc>
        <w:tc>
          <w:tcPr>
            <w:tcW w:w="2480" w:type="dxa"/>
            <w:vAlign w:val="bottom"/>
            <w:shd w:val="clear" w:color="auto" w:fill="E9F8FD"/>
          </w:tcPr>
          <w:p>
            <w:pPr>
              <w:spacing w:after="0"/>
              <w:rPr>
                <w:sz w:val="24"/>
                <w:szCs w:val="24"/>
                <w:color w:val="auto"/>
              </w:rPr>
            </w:pPr>
          </w:p>
        </w:tc>
        <w:tc>
          <w:tcPr>
            <w:tcW w:w="2360" w:type="dxa"/>
            <w:vAlign w:val="bottom"/>
            <w:shd w:val="clear" w:color="auto" w:fill="E9F8FD"/>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42B6E9"/>
              </w:rPr>
              <w:t>★</w:t>
            </w:r>
          </w:p>
        </w:tc>
      </w:tr>
      <w:tr>
        <w:trPr>
          <w:trHeight w:val="378"/>
        </w:trPr>
        <w:tc>
          <w:tcPr>
            <w:tcW w:w="2380" w:type="dxa"/>
            <w:vAlign w:val="bottom"/>
            <w:shd w:val="clear" w:color="auto" w:fill="E9F8FD"/>
          </w:tcPr>
          <w:p>
            <w:pPr>
              <w:ind w:left="80"/>
              <w:spacing w:after="0"/>
              <w:rPr>
                <w:sz w:val="20"/>
                <w:szCs w:val="20"/>
                <w:color w:val="auto"/>
              </w:rPr>
            </w:pPr>
            <w:r>
              <w:rPr>
                <w:rFonts w:ascii="Arial" w:cs="Arial" w:eastAsia="Arial" w:hAnsi="Arial"/>
                <w:sz w:val="16"/>
                <w:szCs w:val="16"/>
                <w:color w:val="42B6E9"/>
              </w:rPr>
              <w:t>Joe Lonsdale</w:t>
            </w:r>
          </w:p>
        </w:tc>
        <w:tc>
          <w:tcPr>
            <w:tcW w:w="2340" w:type="dxa"/>
            <w:vAlign w:val="bottom"/>
            <w:shd w:val="clear" w:color="auto" w:fill="E9F8FD"/>
          </w:tcPr>
          <w:p>
            <w:pPr>
              <w:spacing w:after="0"/>
              <w:rPr>
                <w:sz w:val="24"/>
                <w:szCs w:val="24"/>
                <w:color w:val="auto"/>
              </w:rPr>
            </w:pPr>
          </w:p>
        </w:tc>
        <w:tc>
          <w:tcPr>
            <w:tcW w:w="2480" w:type="dxa"/>
            <w:vAlign w:val="bottom"/>
            <w:shd w:val="clear" w:color="auto" w:fill="E9F8FD"/>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42B6E9"/>
              </w:rPr>
              <w:t>★</w:t>
            </w:r>
          </w:p>
        </w:tc>
        <w:tc>
          <w:tcPr>
            <w:tcW w:w="2360" w:type="dxa"/>
            <w:vAlign w:val="bottom"/>
            <w:shd w:val="clear" w:color="auto" w:fill="E9F8FD"/>
          </w:tcPr>
          <w:p>
            <w:pPr>
              <w:spacing w:after="0"/>
              <w:rPr>
                <w:sz w:val="24"/>
                <w:szCs w:val="24"/>
                <w:color w:val="auto"/>
              </w:rPr>
            </w:pPr>
          </w:p>
        </w:tc>
      </w:tr>
      <w:tr>
        <w:trPr>
          <w:trHeight w:val="378"/>
        </w:trPr>
        <w:tc>
          <w:tcPr>
            <w:tcW w:w="2380" w:type="dxa"/>
            <w:vAlign w:val="bottom"/>
            <w:shd w:val="clear" w:color="auto" w:fill="E9F8FD"/>
          </w:tcPr>
          <w:p>
            <w:pPr>
              <w:ind w:left="80"/>
              <w:spacing w:after="0"/>
              <w:rPr>
                <w:sz w:val="20"/>
                <w:szCs w:val="20"/>
                <w:color w:val="auto"/>
              </w:rPr>
            </w:pPr>
            <w:r>
              <w:rPr>
                <w:rFonts w:ascii="Arial" w:cs="Arial" w:eastAsia="Arial" w:hAnsi="Arial"/>
                <w:sz w:val="16"/>
                <w:szCs w:val="16"/>
                <w:color w:val="42B6E9"/>
              </w:rPr>
              <w:t>Jacqueline Reses</w:t>
            </w:r>
          </w:p>
        </w:tc>
        <w:tc>
          <w:tcPr>
            <w:tcW w:w="2340" w:type="dxa"/>
            <w:vAlign w:val="bottom"/>
            <w:shd w:val="clear" w:color="auto" w:fill="E9F8FD"/>
          </w:tcPr>
          <w:p>
            <w:pPr>
              <w:spacing w:after="0"/>
              <w:rPr>
                <w:sz w:val="24"/>
                <w:szCs w:val="24"/>
                <w:color w:val="auto"/>
              </w:rPr>
            </w:pPr>
          </w:p>
        </w:tc>
        <w:tc>
          <w:tcPr>
            <w:tcW w:w="2480" w:type="dxa"/>
            <w:vAlign w:val="bottom"/>
            <w:shd w:val="clear" w:color="auto" w:fill="E9F8FD"/>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42B6E9"/>
              </w:rPr>
              <w:t>★</w:t>
            </w:r>
          </w:p>
        </w:tc>
        <w:tc>
          <w:tcPr>
            <w:tcW w:w="2360" w:type="dxa"/>
            <w:vAlign w:val="bottom"/>
            <w:shd w:val="clear" w:color="auto" w:fill="E9F8FD"/>
          </w:tcPr>
          <w:p>
            <w:pPr>
              <w:spacing w:after="0"/>
              <w:rPr>
                <w:sz w:val="24"/>
                <w:szCs w:val="24"/>
                <w:color w:val="auto"/>
              </w:rPr>
            </w:pPr>
          </w:p>
        </w:tc>
      </w:tr>
      <w:tr>
        <w:trPr>
          <w:trHeight w:val="378"/>
        </w:trPr>
        <w:tc>
          <w:tcPr>
            <w:tcW w:w="2380" w:type="dxa"/>
            <w:vAlign w:val="bottom"/>
            <w:shd w:val="clear" w:color="auto" w:fill="E9F8FD"/>
          </w:tcPr>
          <w:p>
            <w:pPr>
              <w:ind w:left="80"/>
              <w:spacing w:after="0"/>
              <w:rPr>
                <w:sz w:val="20"/>
                <w:szCs w:val="20"/>
                <w:color w:val="auto"/>
              </w:rPr>
            </w:pPr>
            <w:r>
              <w:rPr>
                <w:rFonts w:ascii="Arial" w:cs="Arial" w:eastAsia="Arial" w:hAnsi="Arial"/>
                <w:sz w:val="16"/>
                <w:szCs w:val="16"/>
                <w:color w:val="42B6E9"/>
              </w:rPr>
              <w:t>Tanzeen Syed</w:t>
            </w:r>
          </w:p>
        </w:tc>
        <w:tc>
          <w:tcPr>
            <w:tcW w:w="2340" w:type="dxa"/>
            <w:vAlign w:val="bottom"/>
            <w:shd w:val="clear" w:color="auto" w:fill="E9F8FD"/>
          </w:tcPr>
          <w:p>
            <w:pPr>
              <w:spacing w:after="0"/>
              <w:rPr>
                <w:sz w:val="24"/>
                <w:szCs w:val="24"/>
                <w:color w:val="auto"/>
              </w:rPr>
            </w:pPr>
          </w:p>
        </w:tc>
        <w:tc>
          <w:tcPr>
            <w:tcW w:w="2480" w:type="dxa"/>
            <w:vAlign w:val="bottom"/>
            <w:shd w:val="clear" w:color="auto" w:fill="E9F8FD"/>
          </w:tcPr>
          <w:p>
            <w:pPr>
              <w:jc w:val="center"/>
              <w:spacing w:after="0" w:line="184" w:lineRule="exact"/>
              <w:rPr>
                <w:sz w:val="20"/>
                <w:szCs w:val="20"/>
                <w:color w:val="auto"/>
              </w:rPr>
            </w:pPr>
            <w:r>
              <w:rPr>
                <w:rFonts w:ascii="MS PGothic" w:cs="MS PGothic" w:eastAsia="MS PGothic" w:hAnsi="MS PGothic"/>
                <w:sz w:val="16"/>
                <w:szCs w:val="16"/>
                <w:color w:val="000000"/>
                <w:w w:val="98"/>
                <w:shd w:val="clear" w:color="auto" w:fill="42B6E9"/>
              </w:rPr>
              <w:t>★</w:t>
            </w:r>
            <w:r>
              <w:rPr>
                <w:rFonts w:ascii="Arial" w:cs="Arial" w:eastAsia="Arial" w:hAnsi="Arial"/>
                <w:sz w:val="16"/>
                <w:szCs w:val="16"/>
                <w:b w:val="1"/>
                <w:bCs w:val="1"/>
                <w:color w:val="42B6E9"/>
                <w:w w:val="98"/>
              </w:rPr>
              <w:t>*</w:t>
            </w:r>
          </w:p>
        </w:tc>
        <w:tc>
          <w:tcPr>
            <w:tcW w:w="2360" w:type="dxa"/>
            <w:vAlign w:val="bottom"/>
            <w:shd w:val="clear" w:color="auto" w:fill="E9F8FD"/>
          </w:tcPr>
          <w:p>
            <w:pPr>
              <w:ind w:left="1060"/>
              <w:spacing w:after="0" w:line="184" w:lineRule="exact"/>
              <w:rPr>
                <w:sz w:val="20"/>
                <w:szCs w:val="20"/>
                <w:color w:val="auto"/>
              </w:rPr>
            </w:pPr>
            <w:r>
              <w:rPr>
                <w:rFonts w:ascii="MS PGothic" w:cs="MS PGothic" w:eastAsia="MS PGothic" w:hAnsi="MS PGothic"/>
                <w:sz w:val="16"/>
                <w:szCs w:val="16"/>
                <w:color w:val="000000"/>
                <w:shd w:val="clear" w:color="auto" w:fill="42B6E9"/>
              </w:rPr>
              <w:t>★</w:t>
            </w:r>
            <w:r>
              <w:rPr>
                <w:rFonts w:ascii="Arial" w:cs="Arial" w:eastAsia="Arial" w:hAnsi="Arial"/>
                <w:sz w:val="16"/>
                <w:szCs w:val="16"/>
                <w:b w:val="1"/>
                <w:bCs w:val="1"/>
                <w:color w:val="42B6E9"/>
              </w:rPr>
              <w:t>*</w:t>
            </w:r>
          </w:p>
        </w:tc>
      </w:tr>
      <w:tr>
        <w:trPr>
          <w:trHeight w:val="378"/>
        </w:trPr>
        <w:tc>
          <w:tcPr>
            <w:tcW w:w="2380" w:type="dxa"/>
            <w:vAlign w:val="bottom"/>
            <w:shd w:val="clear" w:color="auto" w:fill="E9F8FD"/>
          </w:tcPr>
          <w:p>
            <w:pPr>
              <w:ind w:left="80"/>
              <w:spacing w:after="0"/>
              <w:rPr>
                <w:sz w:val="20"/>
                <w:szCs w:val="20"/>
                <w:color w:val="auto"/>
              </w:rPr>
            </w:pPr>
            <w:r>
              <w:rPr>
                <w:rFonts w:ascii="Arial" w:cs="Arial" w:eastAsia="Arial" w:hAnsi="Arial"/>
                <w:sz w:val="16"/>
                <w:szCs w:val="16"/>
                <w:color w:val="42B6E9"/>
              </w:rPr>
              <w:t>Stephanie Tilenius</w:t>
            </w:r>
          </w:p>
        </w:tc>
        <w:tc>
          <w:tcPr>
            <w:tcW w:w="2340" w:type="dxa"/>
            <w:vAlign w:val="bottom"/>
            <w:shd w:val="clear" w:color="auto" w:fill="E9F8FD"/>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42B6E9"/>
              </w:rPr>
              <w:t>★</w:t>
            </w:r>
          </w:p>
        </w:tc>
        <w:tc>
          <w:tcPr>
            <w:tcW w:w="2480" w:type="dxa"/>
            <w:vAlign w:val="bottom"/>
            <w:shd w:val="clear" w:color="auto" w:fill="E9F8FD"/>
          </w:tcPr>
          <w:p>
            <w:pPr>
              <w:spacing w:after="0"/>
              <w:rPr>
                <w:sz w:val="24"/>
                <w:szCs w:val="24"/>
                <w:color w:val="auto"/>
              </w:rPr>
            </w:pPr>
          </w:p>
        </w:tc>
        <w:tc>
          <w:tcPr>
            <w:tcW w:w="2360" w:type="dxa"/>
            <w:vAlign w:val="bottom"/>
            <w:shd w:val="clear" w:color="auto" w:fill="E9F8FD"/>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42B6E9"/>
              </w:rPr>
              <w:t>★</w:t>
            </w:r>
          </w:p>
        </w:tc>
      </w:tr>
      <w:tr>
        <w:trPr>
          <w:trHeight w:val="378"/>
        </w:trPr>
        <w:tc>
          <w:tcPr>
            <w:tcW w:w="2380" w:type="dxa"/>
            <w:vAlign w:val="bottom"/>
            <w:shd w:val="clear" w:color="auto" w:fill="E9F8FD"/>
          </w:tcPr>
          <w:p>
            <w:pPr>
              <w:ind w:left="80"/>
              <w:spacing w:after="0"/>
              <w:rPr>
                <w:sz w:val="20"/>
                <w:szCs w:val="20"/>
                <w:color w:val="auto"/>
              </w:rPr>
            </w:pPr>
            <w:r>
              <w:rPr>
                <w:rFonts w:ascii="Arial" w:cs="Arial" w:eastAsia="Arial" w:hAnsi="Arial"/>
                <w:sz w:val="16"/>
                <w:szCs w:val="16"/>
                <w:color w:val="42B6E9"/>
              </w:rPr>
              <w:t>Hans Tung</w:t>
            </w:r>
          </w:p>
        </w:tc>
        <w:tc>
          <w:tcPr>
            <w:tcW w:w="2340" w:type="dxa"/>
            <w:vAlign w:val="bottom"/>
            <w:shd w:val="clear" w:color="auto" w:fill="E9F8FD"/>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42B6E9"/>
              </w:rPr>
              <w:t>★</w:t>
            </w:r>
          </w:p>
        </w:tc>
        <w:tc>
          <w:tcPr>
            <w:tcW w:w="2480" w:type="dxa"/>
            <w:vAlign w:val="bottom"/>
            <w:shd w:val="clear" w:color="auto" w:fill="E9F8FD"/>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42B6E9"/>
              </w:rPr>
              <w:t>★</w:t>
            </w:r>
          </w:p>
        </w:tc>
        <w:tc>
          <w:tcPr>
            <w:tcW w:w="2360" w:type="dxa"/>
            <w:vAlign w:val="bottom"/>
            <w:shd w:val="clear" w:color="auto" w:fill="E9F8FD"/>
          </w:tcPr>
          <w:p>
            <w:pPr>
              <w:spacing w:after="0"/>
              <w:rPr>
                <w:sz w:val="24"/>
                <w:szCs w:val="24"/>
                <w:color w:val="auto"/>
              </w:rPr>
            </w:pPr>
          </w:p>
        </w:tc>
      </w:tr>
      <w:tr>
        <w:trPr>
          <w:trHeight w:val="42"/>
        </w:trPr>
        <w:tc>
          <w:tcPr>
            <w:tcW w:w="2380" w:type="dxa"/>
            <w:vAlign w:val="bottom"/>
            <w:shd w:val="clear" w:color="auto" w:fill="E9F8FD"/>
          </w:tcPr>
          <w:p>
            <w:pPr>
              <w:spacing w:after="0"/>
              <w:rPr>
                <w:sz w:val="3"/>
                <w:szCs w:val="3"/>
                <w:color w:val="auto"/>
              </w:rPr>
            </w:pPr>
          </w:p>
        </w:tc>
        <w:tc>
          <w:tcPr>
            <w:tcW w:w="2340" w:type="dxa"/>
            <w:vAlign w:val="bottom"/>
            <w:shd w:val="clear" w:color="auto" w:fill="E9F8FD"/>
          </w:tcPr>
          <w:p>
            <w:pPr>
              <w:spacing w:after="0"/>
              <w:rPr>
                <w:sz w:val="3"/>
                <w:szCs w:val="3"/>
                <w:color w:val="auto"/>
              </w:rPr>
            </w:pPr>
          </w:p>
        </w:tc>
        <w:tc>
          <w:tcPr>
            <w:tcW w:w="2480" w:type="dxa"/>
            <w:vAlign w:val="bottom"/>
            <w:shd w:val="clear" w:color="auto" w:fill="E9F8FD"/>
          </w:tcPr>
          <w:p>
            <w:pPr>
              <w:spacing w:after="0"/>
              <w:rPr>
                <w:sz w:val="3"/>
                <w:szCs w:val="3"/>
                <w:color w:val="auto"/>
              </w:rPr>
            </w:pPr>
          </w:p>
        </w:tc>
        <w:tc>
          <w:tcPr>
            <w:tcW w:w="2360" w:type="dxa"/>
            <w:vAlign w:val="bottom"/>
            <w:shd w:val="clear" w:color="auto" w:fill="E9F8FD"/>
          </w:tcPr>
          <w:p>
            <w:pPr>
              <w:spacing w:after="0"/>
              <w:rPr>
                <w:sz w:val="3"/>
                <w:szCs w:val="3"/>
                <w:color w:val="auto"/>
              </w:rPr>
            </w:pPr>
          </w:p>
        </w:tc>
      </w:tr>
    </w:tbl>
    <w:p>
      <w:pPr>
        <w:spacing w:after="0" w:line="99" w:lineRule="exact"/>
        <w:rPr>
          <w:sz w:val="20"/>
          <w:szCs w:val="20"/>
          <w:color w:val="auto"/>
        </w:rPr>
      </w:pPr>
    </w:p>
    <w:p>
      <w:pPr>
        <w:ind w:left="244" w:hanging="244"/>
        <w:spacing w:after="0"/>
        <w:tabs>
          <w:tab w:leader="none" w:pos="244"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Committee Chair</w:t>
      </w:r>
    </w:p>
    <w:p>
      <w:pPr>
        <w:spacing w:after="0" w:line="160" w:lineRule="exact"/>
        <w:rPr>
          <w:sz w:val="20"/>
          <w:szCs w:val="20"/>
          <w:color w:val="auto"/>
        </w:rPr>
      </w:pPr>
    </w:p>
    <w:p>
      <w:pPr>
        <w:ind w:left="4" w:right="20"/>
        <w:spacing w:after="0" w:line="250" w:lineRule="auto"/>
        <w:rPr>
          <w:sz w:val="20"/>
          <w:szCs w:val="20"/>
          <w:color w:val="auto"/>
        </w:rPr>
      </w:pPr>
      <w:r>
        <w:rPr>
          <w:rFonts w:ascii="Arial" w:cs="Arial" w:eastAsia="Arial" w:hAnsi="Arial"/>
          <w:sz w:val="16"/>
          <w:szCs w:val="16"/>
          <w:color w:val="auto"/>
        </w:rPr>
        <w:t>Below is a description of each Committee of the Board of Directors. The Board of Directors has determined that each member of the Audit, Compensation, and Nominating and Corporate Governance Committees meets the applicable rules and regulations regarding “independence” and also that each member of the Audit Committee, Compensation Committee, and Nominating and Corporate Governance Committee is free of any relationship that would interfere with his or her individual exercise of independent judgment with regard to Company matters.</w:t>
      </w:r>
    </w:p>
    <w:p>
      <w:pPr>
        <w:spacing w:after="0" w:line="3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42B6E9"/>
        </w:rPr>
        <w:t>Audit Committee</w:t>
      </w:r>
    </w:p>
    <w:p>
      <w:pPr>
        <w:spacing w:after="0" w:line="66" w:lineRule="exact"/>
        <w:rPr>
          <w:sz w:val="20"/>
          <w:szCs w:val="20"/>
          <w:color w:val="auto"/>
        </w:rPr>
      </w:pPr>
    </w:p>
    <w:p>
      <w:pPr>
        <w:ind w:left="4" w:right="40"/>
        <w:spacing w:after="0" w:line="250" w:lineRule="auto"/>
        <w:rPr>
          <w:sz w:val="20"/>
          <w:szCs w:val="20"/>
          <w:color w:val="auto"/>
        </w:rPr>
      </w:pPr>
      <w:r>
        <w:rPr>
          <w:rFonts w:ascii="Arial" w:cs="Arial" w:eastAsia="Arial" w:hAnsi="Arial"/>
          <w:sz w:val="16"/>
          <w:szCs w:val="16"/>
          <w:color w:val="auto"/>
        </w:rPr>
        <w:t>The members of our Audit Committee are Mses. Bradley and Tilenius, and Mr. Tung, each of whom can read and understand fundamental financial statements. Each is each independent under the rules and regulations of the SEC and the listing standards of Nasdaq applicable to audit committee members. Ms. Bradley chairs the Audit Committee. Our Board of Directors has determined that Mses. Bradley and Tilenius each qualifies as an audit committee financial expert within the meaning of SEC regulations and meets the financial sophistication requirements of Nasdaq.</w:t>
      </w:r>
    </w:p>
    <w:p>
      <w:pPr>
        <w:spacing w:after="0" w:line="149" w:lineRule="exact"/>
        <w:rPr>
          <w:sz w:val="20"/>
          <w:szCs w:val="20"/>
          <w:color w:val="auto"/>
        </w:rPr>
      </w:pPr>
    </w:p>
    <w:p>
      <w:pPr>
        <w:ind w:left="4" w:right="80"/>
        <w:spacing w:after="0" w:line="251" w:lineRule="auto"/>
        <w:rPr>
          <w:sz w:val="20"/>
          <w:szCs w:val="20"/>
          <w:color w:val="auto"/>
        </w:rPr>
      </w:pPr>
      <w:r>
        <w:rPr>
          <w:rFonts w:ascii="Arial" w:cs="Arial" w:eastAsia="Arial" w:hAnsi="Arial"/>
          <w:sz w:val="16"/>
          <w:szCs w:val="16"/>
          <w:color w:val="auto"/>
        </w:rPr>
        <w:t>Our Audit Committee assists our Board of Directors’ oversight of the quality and integrity of our financial statements; our compliance with legal and regulatory requirements; the qualifications, independence, and performance of our independent registered public accounting firm; the effectiveness of our internal controls over financial reporting; and risk assessment and risk management. Among other matters, our Audit Committee’s responsibilities include:</w:t>
      </w:r>
    </w:p>
    <w:p>
      <w:pPr>
        <w:spacing w:after="0" w:line="148" w:lineRule="exact"/>
        <w:rPr>
          <w:sz w:val="20"/>
          <w:szCs w:val="20"/>
          <w:color w:val="auto"/>
        </w:rPr>
      </w:pPr>
    </w:p>
    <w:p>
      <w:pPr>
        <w:ind w:left="284" w:right="60" w:hanging="284"/>
        <w:spacing w:after="0" w:line="253" w:lineRule="auto"/>
        <w:tabs>
          <w:tab w:leader="none" w:pos="284" w:val="left"/>
        </w:tabs>
        <w:numPr>
          <w:ilvl w:val="0"/>
          <w:numId w:val="16"/>
        </w:numPr>
        <w:rPr>
          <w:rFonts w:ascii="Arial" w:cs="Arial" w:eastAsia="Arial" w:hAnsi="Arial"/>
          <w:sz w:val="16"/>
          <w:szCs w:val="16"/>
          <w:color w:val="42B6E9"/>
        </w:rPr>
      </w:pPr>
      <w:r>
        <w:rPr>
          <w:rFonts w:ascii="Arial" w:cs="Arial" w:eastAsia="Arial" w:hAnsi="Arial"/>
          <w:sz w:val="16"/>
          <w:szCs w:val="16"/>
          <w:color w:val="auto"/>
        </w:rPr>
        <w:t>Reviewing and discussing with our management and independent registered public accounting firm our financial reporting processes and the design, implementation, and maintenance of our internal controls, including the adequacy and effectiveness of those controls and procedures;</w:t>
      </w:r>
    </w:p>
    <w:p>
      <w:pPr>
        <w:spacing w:after="0" w:line="147" w:lineRule="exact"/>
        <w:rPr>
          <w:rFonts w:ascii="Arial" w:cs="Arial" w:eastAsia="Arial" w:hAnsi="Arial"/>
          <w:sz w:val="16"/>
          <w:szCs w:val="16"/>
          <w:color w:val="42B6E9"/>
        </w:rPr>
      </w:pPr>
    </w:p>
    <w:p>
      <w:pPr>
        <w:ind w:left="284" w:right="60" w:hanging="284"/>
        <w:spacing w:after="0" w:line="260" w:lineRule="auto"/>
        <w:tabs>
          <w:tab w:leader="none" w:pos="284" w:val="left"/>
        </w:tabs>
        <w:numPr>
          <w:ilvl w:val="0"/>
          <w:numId w:val="16"/>
        </w:numPr>
        <w:rPr>
          <w:rFonts w:ascii="Arial" w:cs="Arial" w:eastAsia="Arial" w:hAnsi="Arial"/>
          <w:sz w:val="16"/>
          <w:szCs w:val="16"/>
          <w:color w:val="42B6E9"/>
        </w:rPr>
      </w:pPr>
      <w:r>
        <w:rPr>
          <w:rFonts w:ascii="Arial" w:cs="Arial" w:eastAsia="Arial" w:hAnsi="Arial"/>
          <w:sz w:val="16"/>
          <w:szCs w:val="16"/>
          <w:color w:val="auto"/>
        </w:rPr>
        <w:t>Discussing with our management and independent registered public accounting firm the scope of the annual audit and the results of the annual audit and quarterly reviews of our financial statements;</w:t>
      </w:r>
    </w:p>
    <w:p>
      <w:pPr>
        <w:spacing w:after="0" w:line="141" w:lineRule="exact"/>
        <w:rPr>
          <w:rFonts w:ascii="Arial" w:cs="Arial" w:eastAsia="Arial" w:hAnsi="Arial"/>
          <w:sz w:val="16"/>
          <w:szCs w:val="16"/>
          <w:color w:val="42B6E9"/>
        </w:rPr>
      </w:pPr>
    </w:p>
    <w:p>
      <w:pPr>
        <w:ind w:left="284" w:hanging="284"/>
        <w:spacing w:after="0"/>
        <w:tabs>
          <w:tab w:leader="none" w:pos="284" w:val="left"/>
        </w:tabs>
        <w:numPr>
          <w:ilvl w:val="0"/>
          <w:numId w:val="16"/>
        </w:numPr>
        <w:rPr>
          <w:rFonts w:ascii="Arial" w:cs="Arial" w:eastAsia="Arial" w:hAnsi="Arial"/>
          <w:sz w:val="16"/>
          <w:szCs w:val="16"/>
          <w:color w:val="42B6E9"/>
        </w:rPr>
      </w:pPr>
      <w:r>
        <w:rPr>
          <w:rFonts w:ascii="Arial" w:cs="Arial" w:eastAsia="Arial" w:hAnsi="Arial"/>
          <w:sz w:val="16"/>
          <w:szCs w:val="16"/>
          <w:color w:val="auto"/>
        </w:rPr>
        <w:t>Appointing, retaining, compensating, and overseeing the work of our independent registered public accounting firm;</w:t>
      </w:r>
    </w:p>
    <w:p>
      <w:pPr>
        <w:spacing w:after="0" w:line="167" w:lineRule="exact"/>
        <w:rPr>
          <w:rFonts w:ascii="Arial" w:cs="Arial" w:eastAsia="Arial" w:hAnsi="Arial"/>
          <w:sz w:val="16"/>
          <w:szCs w:val="16"/>
          <w:color w:val="42B6E9"/>
        </w:rPr>
      </w:pPr>
    </w:p>
    <w:p>
      <w:pPr>
        <w:ind w:left="284" w:right="460" w:hanging="284"/>
        <w:spacing w:after="0" w:line="260" w:lineRule="auto"/>
        <w:tabs>
          <w:tab w:leader="none" w:pos="284" w:val="left"/>
        </w:tabs>
        <w:numPr>
          <w:ilvl w:val="0"/>
          <w:numId w:val="16"/>
        </w:numPr>
        <w:rPr>
          <w:rFonts w:ascii="Arial" w:cs="Arial" w:eastAsia="Arial" w:hAnsi="Arial"/>
          <w:sz w:val="16"/>
          <w:szCs w:val="16"/>
          <w:color w:val="42B6E9"/>
        </w:rPr>
      </w:pPr>
      <w:r>
        <w:rPr>
          <w:rFonts w:ascii="Arial" w:cs="Arial" w:eastAsia="Arial" w:hAnsi="Arial"/>
          <w:sz w:val="16"/>
          <w:szCs w:val="16"/>
          <w:color w:val="auto"/>
        </w:rPr>
        <w:t>Approving the retention of the independent registered public accounting firm to perform any proposed permissible non-audit services;</w:t>
      </w:r>
    </w:p>
    <w:p>
      <w:pPr>
        <w:spacing w:after="0" w:line="141" w:lineRule="exact"/>
        <w:rPr>
          <w:rFonts w:ascii="Arial" w:cs="Arial" w:eastAsia="Arial" w:hAnsi="Arial"/>
          <w:sz w:val="16"/>
          <w:szCs w:val="16"/>
          <w:color w:val="42B6E9"/>
        </w:rPr>
      </w:pPr>
    </w:p>
    <w:p>
      <w:pPr>
        <w:ind w:left="284" w:hanging="284"/>
        <w:spacing w:after="0"/>
        <w:tabs>
          <w:tab w:leader="none" w:pos="284" w:val="left"/>
        </w:tabs>
        <w:numPr>
          <w:ilvl w:val="0"/>
          <w:numId w:val="16"/>
        </w:numPr>
        <w:rPr>
          <w:rFonts w:ascii="Arial" w:cs="Arial" w:eastAsia="Arial" w:hAnsi="Arial"/>
          <w:sz w:val="16"/>
          <w:szCs w:val="16"/>
          <w:color w:val="42B6E9"/>
        </w:rPr>
      </w:pPr>
      <w:r>
        <w:rPr>
          <w:rFonts w:ascii="Arial" w:cs="Arial" w:eastAsia="Arial" w:hAnsi="Arial"/>
          <w:sz w:val="16"/>
          <w:szCs w:val="16"/>
          <w:color w:val="auto"/>
        </w:rPr>
        <w:t>Reviewing and evaluating the lead audit partner of the independent registered public accounting firm;</w:t>
      </w:r>
    </w:p>
    <w:p>
      <w:pPr>
        <w:sectPr>
          <w:pgSz w:w="11900" w:h="16838" w:orient="portrait"/>
          <w:cols w:equalWidth="0" w:num="1">
            <w:col w:w="9584"/>
          </w:cols>
          <w:pgMar w:left="1156" w:top="265" w:right="1159" w:bottom="1440" w:gutter="0" w:footer="0" w:header="0"/>
        </w:sectPr>
      </w:pPr>
    </w:p>
    <w:p>
      <w:pPr>
        <w:spacing w:after="0" w:line="206" w:lineRule="exact"/>
        <w:rPr>
          <w:sz w:val="20"/>
          <w:szCs w:val="20"/>
          <w:color w:val="auto"/>
        </w:rPr>
      </w:pPr>
    </w:p>
    <w:p>
      <w:pPr>
        <w:ind w:left="3384"/>
        <w:spacing w:after="0"/>
        <w:tabs>
          <w:tab w:leader="none" w:pos="9484" w:val="left"/>
        </w:tabs>
        <w:rPr>
          <w:sz w:val="20"/>
          <w:szCs w:val="20"/>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r>
        <w:rPr>
          <w:sz w:val="20"/>
          <w:szCs w:val="20"/>
          <w:color w:val="auto"/>
        </w:rPr>
        <w:tab/>
      </w:r>
      <w:r>
        <w:rPr>
          <w:rFonts w:ascii="Arial" w:cs="Arial" w:eastAsia="Arial" w:hAnsi="Arial"/>
          <w:sz w:val="14"/>
          <w:szCs w:val="14"/>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4"/>
          </w:cols>
          <w:pgMar w:left="1156" w:top="265" w:right="1159" w:bottom="1440" w:gutter="0" w:footer="0" w:header="0"/>
          <w:type w:val="continuous"/>
        </w:sectPr>
      </w:pPr>
    </w:p>
    <w:bookmarkStart w:id="14" w:name="page15"/>
    <w:bookmarkEnd w:id="14"/>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42B6E9"/>
        </w:rPr>
        <w:t>DIRECTORS, EXECUTIVE OFFICERS, AND CORPORATE</w:t>
      </w:r>
    </w:p>
    <w:p>
      <w:pPr>
        <w:spacing w:after="0" w:line="10" w:lineRule="exact"/>
        <w:rPr>
          <w:sz w:val="20"/>
          <w:szCs w:val="20"/>
          <w:color w:val="auto"/>
        </w:rPr>
      </w:pPr>
    </w:p>
    <w:p>
      <w:pPr>
        <w:ind w:left="4"/>
        <w:spacing w:after="0"/>
        <w:rPr>
          <w:sz w:val="20"/>
          <w:szCs w:val="20"/>
          <w:color w:val="auto"/>
        </w:rPr>
      </w:pPr>
      <w:r>
        <w:rPr>
          <w:rFonts w:ascii="Arial" w:cs="Arial" w:eastAsia="Arial" w:hAnsi="Arial"/>
          <w:sz w:val="32"/>
          <w:szCs w:val="32"/>
          <w:color w:val="42B6E9"/>
        </w:rPr>
        <w:t>GOVERNANCE</w:t>
      </w:r>
    </w:p>
    <w:p>
      <w:pPr>
        <w:spacing w:after="0" w:line="10" w:lineRule="exact"/>
        <w:rPr>
          <w:sz w:val="20"/>
          <w:szCs w:val="20"/>
          <w:color w:val="auto"/>
        </w:rPr>
      </w:pPr>
    </w:p>
    <w:p>
      <w:pPr>
        <w:ind w:left="4"/>
        <w:spacing w:after="0"/>
        <w:rPr>
          <w:sz w:val="20"/>
          <w:szCs w:val="20"/>
          <w:color w:val="auto"/>
        </w:rPr>
      </w:pPr>
      <w:r>
        <w:rPr>
          <w:rFonts w:ascii="Arial" w:cs="Arial" w:eastAsia="Arial" w:hAnsi="Arial"/>
          <w:sz w:val="32"/>
          <w:szCs w:val="32"/>
          <w:color w:val="42B6E9"/>
        </w:rPr>
        <w:t>(continued)</w:t>
      </w:r>
    </w:p>
    <w:p>
      <w:pPr>
        <w:spacing w:after="0" w:line="386" w:lineRule="exact"/>
        <w:rPr>
          <w:sz w:val="20"/>
          <w:szCs w:val="20"/>
          <w:color w:val="auto"/>
        </w:rPr>
      </w:pPr>
    </w:p>
    <w:p>
      <w:pPr>
        <w:ind w:left="284" w:right="880" w:hanging="284"/>
        <w:spacing w:after="0" w:line="260" w:lineRule="auto"/>
        <w:tabs>
          <w:tab w:leader="none" w:pos="284" w:val="left"/>
        </w:tabs>
        <w:numPr>
          <w:ilvl w:val="0"/>
          <w:numId w:val="17"/>
        </w:numPr>
        <w:rPr>
          <w:rFonts w:ascii="Arial" w:cs="Arial" w:eastAsia="Arial" w:hAnsi="Arial"/>
          <w:sz w:val="16"/>
          <w:szCs w:val="16"/>
          <w:color w:val="42B6E9"/>
        </w:rPr>
      </w:pPr>
      <w:r>
        <w:rPr>
          <w:rFonts w:ascii="Arial" w:cs="Arial" w:eastAsia="Arial" w:hAnsi="Arial"/>
          <w:sz w:val="16"/>
          <w:szCs w:val="16"/>
          <w:color w:val="auto"/>
        </w:rPr>
        <w:t>Reviewing annual reports from the independent registered public accounting firm describing its internal quality-control procedures;</w:t>
      </w:r>
    </w:p>
    <w:p>
      <w:pPr>
        <w:spacing w:after="0" w:line="141" w:lineRule="exact"/>
        <w:rPr>
          <w:rFonts w:ascii="Arial" w:cs="Arial" w:eastAsia="Arial" w:hAnsi="Arial"/>
          <w:sz w:val="16"/>
          <w:szCs w:val="16"/>
          <w:color w:val="42B6E9"/>
        </w:rPr>
      </w:pPr>
    </w:p>
    <w:p>
      <w:pPr>
        <w:ind w:left="284" w:hanging="284"/>
        <w:spacing w:after="0"/>
        <w:tabs>
          <w:tab w:leader="none" w:pos="284" w:val="left"/>
        </w:tabs>
        <w:numPr>
          <w:ilvl w:val="0"/>
          <w:numId w:val="17"/>
        </w:numPr>
        <w:rPr>
          <w:rFonts w:ascii="Arial" w:cs="Arial" w:eastAsia="Arial" w:hAnsi="Arial"/>
          <w:sz w:val="16"/>
          <w:szCs w:val="16"/>
          <w:color w:val="42B6E9"/>
        </w:rPr>
      </w:pPr>
      <w:r>
        <w:rPr>
          <w:rFonts w:ascii="Arial" w:cs="Arial" w:eastAsia="Arial" w:hAnsi="Arial"/>
          <w:sz w:val="16"/>
          <w:szCs w:val="16"/>
          <w:color w:val="auto"/>
        </w:rPr>
        <w:t>Reviewing critical accounting policies and practices;</w:t>
      </w:r>
    </w:p>
    <w:p>
      <w:pPr>
        <w:spacing w:after="0" w:line="167" w:lineRule="exact"/>
        <w:rPr>
          <w:rFonts w:ascii="Arial" w:cs="Arial" w:eastAsia="Arial" w:hAnsi="Arial"/>
          <w:sz w:val="16"/>
          <w:szCs w:val="16"/>
          <w:color w:val="42B6E9"/>
        </w:rPr>
      </w:pPr>
    </w:p>
    <w:p>
      <w:pPr>
        <w:ind w:left="284" w:hanging="284"/>
        <w:spacing w:after="0"/>
        <w:tabs>
          <w:tab w:leader="none" w:pos="284" w:val="left"/>
        </w:tabs>
        <w:numPr>
          <w:ilvl w:val="0"/>
          <w:numId w:val="17"/>
        </w:numPr>
        <w:rPr>
          <w:rFonts w:ascii="Arial" w:cs="Arial" w:eastAsia="Arial" w:hAnsi="Arial"/>
          <w:sz w:val="16"/>
          <w:szCs w:val="16"/>
          <w:color w:val="42B6E9"/>
        </w:rPr>
      </w:pPr>
      <w:r>
        <w:rPr>
          <w:rFonts w:ascii="Arial" w:cs="Arial" w:eastAsia="Arial" w:hAnsi="Arial"/>
          <w:sz w:val="16"/>
          <w:szCs w:val="16"/>
          <w:color w:val="auto"/>
        </w:rPr>
        <w:t>Reviewing and overseeing all related person transactions in accordance with our policies and procedures;</w:t>
      </w:r>
    </w:p>
    <w:p>
      <w:pPr>
        <w:spacing w:after="0" w:line="167" w:lineRule="exact"/>
        <w:rPr>
          <w:rFonts w:ascii="Arial" w:cs="Arial" w:eastAsia="Arial" w:hAnsi="Arial"/>
          <w:sz w:val="16"/>
          <w:szCs w:val="16"/>
          <w:color w:val="42B6E9"/>
        </w:rPr>
      </w:pPr>
    </w:p>
    <w:p>
      <w:pPr>
        <w:ind w:left="284" w:hanging="284"/>
        <w:spacing w:after="0"/>
        <w:tabs>
          <w:tab w:leader="none" w:pos="284" w:val="left"/>
        </w:tabs>
        <w:numPr>
          <w:ilvl w:val="0"/>
          <w:numId w:val="17"/>
        </w:numPr>
        <w:rPr>
          <w:rFonts w:ascii="Arial" w:cs="Arial" w:eastAsia="Arial" w:hAnsi="Arial"/>
          <w:sz w:val="16"/>
          <w:szCs w:val="16"/>
          <w:color w:val="42B6E9"/>
        </w:rPr>
      </w:pPr>
      <w:r>
        <w:rPr>
          <w:rFonts w:ascii="Arial" w:cs="Arial" w:eastAsia="Arial" w:hAnsi="Arial"/>
          <w:sz w:val="16"/>
          <w:szCs w:val="16"/>
          <w:color w:val="auto"/>
        </w:rPr>
        <w:t>Reviewing and approving our Code of Conduct and Ethics and our compliance with anti-corruption and anti-bribery laws; and</w:t>
      </w:r>
    </w:p>
    <w:p>
      <w:pPr>
        <w:spacing w:after="0" w:line="167" w:lineRule="exact"/>
        <w:rPr>
          <w:rFonts w:ascii="Arial" w:cs="Arial" w:eastAsia="Arial" w:hAnsi="Arial"/>
          <w:sz w:val="16"/>
          <w:szCs w:val="16"/>
          <w:color w:val="42B6E9"/>
        </w:rPr>
      </w:pPr>
    </w:p>
    <w:p>
      <w:pPr>
        <w:ind w:left="284" w:right="200" w:hanging="284"/>
        <w:spacing w:after="0" w:line="253" w:lineRule="auto"/>
        <w:tabs>
          <w:tab w:leader="none" w:pos="284" w:val="left"/>
        </w:tabs>
        <w:numPr>
          <w:ilvl w:val="0"/>
          <w:numId w:val="17"/>
        </w:numPr>
        <w:rPr>
          <w:rFonts w:ascii="Arial" w:cs="Arial" w:eastAsia="Arial" w:hAnsi="Arial"/>
          <w:sz w:val="16"/>
          <w:szCs w:val="16"/>
          <w:color w:val="42B6E9"/>
        </w:rPr>
      </w:pPr>
      <w:r>
        <w:rPr>
          <w:rFonts w:ascii="Arial" w:cs="Arial" w:eastAsia="Arial" w:hAnsi="Arial"/>
          <w:sz w:val="16"/>
          <w:szCs w:val="16"/>
          <w:color w:val="auto"/>
        </w:rPr>
        <w:t>Establishing procedures for the receipt, retention, investigation, and treatment of any complaints regarding questionable accounting, internal accounting controls, or auditing matters, and potential violations of our Code of Conduct and Ethics as well as ensuring the ability of employees to make confidential, anonymous submissions regarding such concerns.</w:t>
      </w:r>
    </w:p>
    <w:p>
      <w:pPr>
        <w:spacing w:after="0" w:line="131" w:lineRule="exact"/>
        <w:rPr>
          <w:sz w:val="20"/>
          <w:szCs w:val="20"/>
          <w:color w:val="auto"/>
        </w:rPr>
      </w:pPr>
    </w:p>
    <w:p>
      <w:pPr>
        <w:jc w:val="both"/>
        <w:ind w:left="4"/>
        <w:spacing w:after="0" w:line="263" w:lineRule="auto"/>
        <w:rPr>
          <w:sz w:val="20"/>
          <w:szCs w:val="20"/>
          <w:color w:val="auto"/>
        </w:rPr>
      </w:pPr>
      <w:r>
        <w:rPr>
          <w:rFonts w:ascii="Arial" w:cs="Arial" w:eastAsia="Arial" w:hAnsi="Arial"/>
          <w:sz w:val="16"/>
          <w:szCs w:val="16"/>
          <w:color w:val="auto"/>
        </w:rPr>
        <w:t xml:space="preserve">Our Audit Committee charter can be found on the “Corporate Governance” section of our corporate website at </w:t>
      </w:r>
      <w:r>
        <w:rPr>
          <w:rFonts w:ascii="Arial" w:cs="Arial" w:eastAsia="Arial" w:hAnsi="Arial"/>
          <w:sz w:val="16"/>
          <w:szCs w:val="16"/>
          <w:i w:val="1"/>
          <w:iCs w:val="1"/>
          <w:color w:val="auto"/>
        </w:rPr>
        <w:t>www.ir.wish.com</w:t>
      </w:r>
      <w:r>
        <w:rPr>
          <w:rFonts w:ascii="Arial" w:cs="Arial" w:eastAsia="Arial" w:hAnsi="Arial"/>
          <w:sz w:val="16"/>
          <w:szCs w:val="16"/>
          <w:color w:val="auto"/>
        </w:rPr>
        <w:t>. Each of Mses. Bradley and Tilenius, and Mr. Tung served on the Audit Committee during 2020. The Audit Committee, which was formed in connection with our initial public offering in December 2020, met once during 2020.</w:t>
      </w:r>
    </w:p>
    <w:p>
      <w:pPr>
        <w:spacing w:after="0" w:line="33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42B6E9"/>
        </w:rPr>
        <w:t>Compensation Committee</w:t>
      </w:r>
    </w:p>
    <w:p>
      <w:pPr>
        <w:spacing w:after="0" w:line="66" w:lineRule="exact"/>
        <w:rPr>
          <w:sz w:val="20"/>
          <w:szCs w:val="20"/>
          <w:color w:val="auto"/>
        </w:rPr>
      </w:pPr>
    </w:p>
    <w:p>
      <w:pPr>
        <w:ind w:left="4" w:right="60"/>
        <w:spacing w:after="0" w:line="248" w:lineRule="auto"/>
        <w:rPr>
          <w:sz w:val="20"/>
          <w:szCs w:val="20"/>
          <w:color w:val="auto"/>
        </w:rPr>
      </w:pPr>
      <w:r>
        <w:rPr>
          <w:rFonts w:ascii="Arial" w:cs="Arial" w:eastAsia="Arial" w:hAnsi="Arial"/>
          <w:sz w:val="16"/>
          <w:szCs w:val="16"/>
          <w:color w:val="auto"/>
        </w:rPr>
        <w:t>The members of our Compensation Committee are Messrs. Lonsdale, Syed, and Tung, and Ms. Reses. Mr. Syed chairs the Compensation Committee. Each member of our Compensation Committee is: (i) independent under the rules and regulations of the SEC and the listing standards of Nasdaq applicable to Compensation Committee members; (ii) a “non-employee director,” as defined in Rule 16b-3 adopted under Section 16 of the Exchange Act; and (iii) an “outside director” under Regulation Section 1.162-27 adopted under Section 162(m) of the Code of 1986, as amended. Our Compensation Committee assists the Board of Directors with its oversight of the compensation of executive officers and directors, and administers compensation and incentive plans for employees and other service providers, including our equity incentive plans and employee stock purchase plan. Among other matters, our Compensation Committee’s responsibilities include:</w:t>
      </w:r>
    </w:p>
    <w:p>
      <w:pPr>
        <w:spacing w:after="0" w:line="153" w:lineRule="exact"/>
        <w:rPr>
          <w:sz w:val="20"/>
          <w:szCs w:val="20"/>
          <w:color w:val="auto"/>
        </w:rPr>
      </w:pPr>
    </w:p>
    <w:p>
      <w:pPr>
        <w:ind w:left="284" w:hanging="284"/>
        <w:spacing w:after="0"/>
        <w:tabs>
          <w:tab w:leader="none" w:pos="284" w:val="left"/>
        </w:tabs>
        <w:numPr>
          <w:ilvl w:val="0"/>
          <w:numId w:val="18"/>
        </w:numPr>
        <w:rPr>
          <w:rFonts w:ascii="Arial" w:cs="Arial" w:eastAsia="Arial" w:hAnsi="Arial"/>
          <w:sz w:val="16"/>
          <w:szCs w:val="16"/>
          <w:color w:val="42B6E9"/>
        </w:rPr>
      </w:pPr>
      <w:r>
        <w:rPr>
          <w:rFonts w:ascii="Arial" w:cs="Arial" w:eastAsia="Arial" w:hAnsi="Arial"/>
          <w:sz w:val="16"/>
          <w:szCs w:val="16"/>
          <w:color w:val="auto"/>
        </w:rPr>
        <w:t>Reviewing, determining, and approving all compensation to be paid or award to all executive officers;</w:t>
      </w:r>
    </w:p>
    <w:p>
      <w:pPr>
        <w:spacing w:after="0" w:line="167" w:lineRule="exact"/>
        <w:rPr>
          <w:rFonts w:ascii="Arial" w:cs="Arial" w:eastAsia="Arial" w:hAnsi="Arial"/>
          <w:sz w:val="16"/>
          <w:szCs w:val="16"/>
          <w:color w:val="42B6E9"/>
        </w:rPr>
      </w:pPr>
    </w:p>
    <w:p>
      <w:pPr>
        <w:ind w:left="284" w:hanging="284"/>
        <w:spacing w:after="0"/>
        <w:tabs>
          <w:tab w:leader="none" w:pos="284" w:val="left"/>
        </w:tabs>
        <w:numPr>
          <w:ilvl w:val="0"/>
          <w:numId w:val="18"/>
        </w:numPr>
        <w:rPr>
          <w:rFonts w:ascii="Arial" w:cs="Arial" w:eastAsia="Arial" w:hAnsi="Arial"/>
          <w:sz w:val="16"/>
          <w:szCs w:val="16"/>
          <w:color w:val="42B6E9"/>
        </w:rPr>
      </w:pPr>
      <w:r>
        <w:rPr>
          <w:rFonts w:ascii="Arial" w:cs="Arial" w:eastAsia="Arial" w:hAnsi="Arial"/>
          <w:sz w:val="16"/>
          <w:szCs w:val="16"/>
          <w:color w:val="auto"/>
        </w:rPr>
        <w:t>Reviewing and recommending to the Board corporate performance goals and objectives relevant to executive compensation;</w:t>
      </w:r>
    </w:p>
    <w:p>
      <w:pPr>
        <w:spacing w:after="0" w:line="167" w:lineRule="exact"/>
        <w:rPr>
          <w:rFonts w:ascii="Arial" w:cs="Arial" w:eastAsia="Arial" w:hAnsi="Arial"/>
          <w:sz w:val="16"/>
          <w:szCs w:val="16"/>
          <w:color w:val="42B6E9"/>
        </w:rPr>
      </w:pPr>
    </w:p>
    <w:p>
      <w:pPr>
        <w:ind w:left="284" w:hanging="284"/>
        <w:spacing w:after="0"/>
        <w:tabs>
          <w:tab w:leader="none" w:pos="284" w:val="left"/>
        </w:tabs>
        <w:numPr>
          <w:ilvl w:val="0"/>
          <w:numId w:val="18"/>
        </w:numPr>
        <w:rPr>
          <w:rFonts w:ascii="Arial" w:cs="Arial" w:eastAsia="Arial" w:hAnsi="Arial"/>
          <w:sz w:val="16"/>
          <w:szCs w:val="16"/>
          <w:color w:val="42B6E9"/>
        </w:rPr>
      </w:pPr>
      <w:r>
        <w:rPr>
          <w:rFonts w:ascii="Arial" w:cs="Arial" w:eastAsia="Arial" w:hAnsi="Arial"/>
          <w:sz w:val="16"/>
          <w:szCs w:val="16"/>
          <w:color w:val="auto"/>
        </w:rPr>
        <w:t>Administering and overseeing our equity incentive plans and employee stock purchase plan;</w:t>
      </w:r>
    </w:p>
    <w:p>
      <w:pPr>
        <w:spacing w:after="0" w:line="167" w:lineRule="exact"/>
        <w:rPr>
          <w:rFonts w:ascii="Arial" w:cs="Arial" w:eastAsia="Arial" w:hAnsi="Arial"/>
          <w:sz w:val="16"/>
          <w:szCs w:val="16"/>
          <w:color w:val="42B6E9"/>
        </w:rPr>
      </w:pPr>
    </w:p>
    <w:p>
      <w:pPr>
        <w:ind w:left="284" w:right="220" w:hanging="284"/>
        <w:spacing w:after="0" w:line="260" w:lineRule="auto"/>
        <w:tabs>
          <w:tab w:leader="none" w:pos="284" w:val="left"/>
        </w:tabs>
        <w:numPr>
          <w:ilvl w:val="0"/>
          <w:numId w:val="18"/>
        </w:numPr>
        <w:rPr>
          <w:rFonts w:ascii="Arial" w:cs="Arial" w:eastAsia="Arial" w:hAnsi="Arial"/>
          <w:sz w:val="16"/>
          <w:szCs w:val="16"/>
          <w:color w:val="42B6E9"/>
        </w:rPr>
      </w:pPr>
      <w:r>
        <w:rPr>
          <w:rFonts w:ascii="Arial" w:cs="Arial" w:eastAsia="Arial" w:hAnsi="Arial"/>
          <w:sz w:val="16"/>
          <w:szCs w:val="16"/>
          <w:color w:val="auto"/>
        </w:rPr>
        <w:t>Overseeing compliance with legal and regulatory requirements associated with executive compensation, other employees, and non-employee directors;</w:t>
      </w:r>
    </w:p>
    <w:p>
      <w:pPr>
        <w:spacing w:after="0" w:line="141" w:lineRule="exact"/>
        <w:rPr>
          <w:rFonts w:ascii="Arial" w:cs="Arial" w:eastAsia="Arial" w:hAnsi="Arial"/>
          <w:sz w:val="16"/>
          <w:szCs w:val="16"/>
          <w:color w:val="42B6E9"/>
        </w:rPr>
      </w:pPr>
    </w:p>
    <w:p>
      <w:pPr>
        <w:ind w:left="284" w:right="340" w:hanging="284"/>
        <w:spacing w:after="0" w:line="260" w:lineRule="auto"/>
        <w:tabs>
          <w:tab w:leader="none" w:pos="284" w:val="left"/>
        </w:tabs>
        <w:numPr>
          <w:ilvl w:val="0"/>
          <w:numId w:val="18"/>
        </w:numPr>
        <w:rPr>
          <w:rFonts w:ascii="Arial" w:cs="Arial" w:eastAsia="Arial" w:hAnsi="Arial"/>
          <w:sz w:val="16"/>
          <w:szCs w:val="16"/>
          <w:color w:val="42B6E9"/>
        </w:rPr>
      </w:pPr>
      <w:r>
        <w:rPr>
          <w:rFonts w:ascii="Arial" w:cs="Arial" w:eastAsia="Arial" w:hAnsi="Arial"/>
          <w:sz w:val="16"/>
          <w:szCs w:val="16"/>
          <w:color w:val="auto"/>
        </w:rPr>
        <w:t>Managing the risks associated with compensation policies and programs, including an annual review of our risk management processes related to compensation programs; and</w:t>
      </w:r>
    </w:p>
    <w:p>
      <w:pPr>
        <w:spacing w:after="0" w:line="141" w:lineRule="exact"/>
        <w:rPr>
          <w:rFonts w:ascii="Arial" w:cs="Arial" w:eastAsia="Arial" w:hAnsi="Arial"/>
          <w:sz w:val="16"/>
          <w:szCs w:val="16"/>
          <w:color w:val="42B6E9"/>
        </w:rPr>
      </w:pPr>
    </w:p>
    <w:p>
      <w:pPr>
        <w:ind w:left="284" w:right="20" w:hanging="284"/>
        <w:spacing w:after="0" w:line="260" w:lineRule="auto"/>
        <w:tabs>
          <w:tab w:leader="none" w:pos="284" w:val="left"/>
        </w:tabs>
        <w:numPr>
          <w:ilvl w:val="0"/>
          <w:numId w:val="18"/>
        </w:numPr>
        <w:rPr>
          <w:rFonts w:ascii="Arial" w:cs="Arial" w:eastAsia="Arial" w:hAnsi="Arial"/>
          <w:sz w:val="16"/>
          <w:szCs w:val="16"/>
          <w:color w:val="42B6E9"/>
        </w:rPr>
      </w:pPr>
      <w:r>
        <w:rPr>
          <w:rFonts w:ascii="Arial" w:cs="Arial" w:eastAsia="Arial" w:hAnsi="Arial"/>
          <w:sz w:val="16"/>
          <w:szCs w:val="16"/>
          <w:color w:val="auto"/>
        </w:rPr>
        <w:t>Reviewing annually our overall compensation philosophy and strategy, including base salary, incentive compensation, and equity-based grants, including whether they promote stockholder interests and support our strategic objectives.</w:t>
      </w:r>
    </w:p>
    <w:p>
      <w:pPr>
        <w:spacing w:after="0" w:line="141" w:lineRule="exact"/>
        <w:rPr>
          <w:sz w:val="20"/>
          <w:szCs w:val="20"/>
          <w:color w:val="auto"/>
        </w:rPr>
      </w:pPr>
    </w:p>
    <w:p>
      <w:pPr>
        <w:ind w:left="4" w:right="140"/>
        <w:spacing w:after="0" w:line="260" w:lineRule="auto"/>
        <w:rPr>
          <w:sz w:val="20"/>
          <w:szCs w:val="20"/>
          <w:color w:val="auto"/>
        </w:rPr>
      </w:pPr>
      <w:r>
        <w:rPr>
          <w:rFonts w:ascii="Arial" w:cs="Arial" w:eastAsia="Arial" w:hAnsi="Arial"/>
          <w:sz w:val="16"/>
          <w:szCs w:val="16"/>
          <w:color w:val="auto"/>
        </w:rPr>
        <w:t xml:space="preserve">Our Compensation Committee charter can be found on the “Corporate Governance” section of our corporate website at </w:t>
      </w:r>
      <w:r>
        <w:rPr>
          <w:rFonts w:ascii="Arial" w:cs="Arial" w:eastAsia="Arial" w:hAnsi="Arial"/>
          <w:sz w:val="16"/>
          <w:szCs w:val="16"/>
          <w:i w:val="1"/>
          <w:iCs w:val="1"/>
          <w:color w:val="auto"/>
        </w:rPr>
        <w:t>www.ir.wish.com</w:t>
      </w:r>
      <w:r>
        <w:rPr>
          <w:rFonts w:ascii="Arial" w:cs="Arial" w:eastAsia="Arial" w:hAnsi="Arial"/>
          <w:sz w:val="16"/>
          <w:szCs w:val="16"/>
          <w:color w:val="auto"/>
        </w:rPr>
        <w:t>. Each of Messrs. Lonsdale, Syed, and Tung, and Ms. Reses served on the Compensation Committee during 2020.</w:t>
      </w:r>
    </w:p>
    <w:p>
      <w:pPr>
        <w:spacing w:after="0" w:line="141" w:lineRule="exact"/>
        <w:rPr>
          <w:sz w:val="20"/>
          <w:szCs w:val="20"/>
          <w:color w:val="auto"/>
        </w:rPr>
      </w:pPr>
    </w:p>
    <w:p>
      <w:pPr>
        <w:ind w:left="4" w:right="60"/>
        <w:spacing w:after="0" w:line="249" w:lineRule="auto"/>
        <w:rPr>
          <w:sz w:val="20"/>
          <w:szCs w:val="20"/>
          <w:color w:val="auto"/>
        </w:rPr>
      </w:pPr>
      <w:r>
        <w:rPr>
          <w:rFonts w:ascii="Arial" w:cs="Arial" w:eastAsia="Arial" w:hAnsi="Arial"/>
          <w:sz w:val="16"/>
          <w:szCs w:val="16"/>
          <w:color w:val="auto"/>
        </w:rPr>
        <w:t>The Compensation Committee met two times during 2020. Mr. Szulczewski, our principal executive officer, does not participate in the determination of his own compensation or the compensation of directors. However, Mr. Szulczewski makes recommendations to the Compensation Committee regarding the amount and form of the compensation of the other executive officers and key employees, and Mr. Szulczewski participates in the Compensation Committee’s deliberations about their compensation. Mr. Bahri, our Chief Financial Officer, also assists the Compensation Committee in its executive officer, director, and employee compensation deliberations. No other executive officers participate in the determination of the amount or form of the compensation of executive officers or directors.</w:t>
      </w:r>
    </w:p>
    <w:p>
      <w:pPr>
        <w:spacing w:after="0" w:line="379" w:lineRule="exact"/>
        <w:rPr>
          <w:sz w:val="20"/>
          <w:szCs w:val="20"/>
          <w:color w:val="auto"/>
        </w:rPr>
      </w:pPr>
    </w:p>
    <w:p>
      <w:pPr>
        <w:ind w:left="524" w:hanging="524"/>
        <w:spacing w:after="0"/>
        <w:tabs>
          <w:tab w:leader="none" w:pos="524"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15" w:name="page16"/>
    <w:bookmarkEnd w:id="15"/>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42B6E9"/>
        </w:rPr>
        <w:t>DIRECTORS, EXECUTIVE OFFICERS, AND CORPORATE</w:t>
      </w:r>
    </w:p>
    <w:p>
      <w:pPr>
        <w:spacing w:after="0" w:line="10" w:lineRule="exact"/>
        <w:rPr>
          <w:sz w:val="20"/>
          <w:szCs w:val="20"/>
          <w:color w:val="auto"/>
        </w:rPr>
      </w:pPr>
    </w:p>
    <w:p>
      <w:pPr>
        <w:ind w:left="720"/>
        <w:spacing w:after="0"/>
        <w:rPr>
          <w:sz w:val="20"/>
          <w:szCs w:val="20"/>
          <w:color w:val="auto"/>
        </w:rPr>
      </w:pPr>
      <w:r>
        <w:rPr>
          <w:rFonts w:ascii="Arial" w:cs="Arial" w:eastAsia="Arial" w:hAnsi="Arial"/>
          <w:sz w:val="32"/>
          <w:szCs w:val="32"/>
          <w:color w:val="42B6E9"/>
        </w:rPr>
        <w:t>GOVERNANCE</w:t>
      </w:r>
    </w:p>
    <w:p>
      <w:pPr>
        <w:spacing w:after="0" w:line="10" w:lineRule="exact"/>
        <w:rPr>
          <w:sz w:val="20"/>
          <w:szCs w:val="20"/>
          <w:color w:val="auto"/>
        </w:rPr>
      </w:pPr>
    </w:p>
    <w:p>
      <w:pPr>
        <w:ind w:left="720"/>
        <w:spacing w:after="0"/>
        <w:rPr>
          <w:sz w:val="20"/>
          <w:szCs w:val="20"/>
          <w:color w:val="auto"/>
        </w:rPr>
      </w:pPr>
      <w:r>
        <w:rPr>
          <w:rFonts w:ascii="Arial" w:cs="Arial" w:eastAsia="Arial" w:hAnsi="Arial"/>
          <w:sz w:val="32"/>
          <w:szCs w:val="32"/>
          <w:color w:val="42B6E9"/>
        </w:rPr>
        <w:t>(continued)</w:t>
      </w:r>
    </w:p>
    <w:p>
      <w:pPr>
        <w:spacing w:after="0" w:line="366"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42B6E9"/>
        </w:rPr>
        <w:t>Nominating and Corporate Governance Committee</w:t>
      </w:r>
    </w:p>
    <w:p>
      <w:pPr>
        <w:spacing w:after="0" w:line="52" w:lineRule="exact"/>
        <w:rPr>
          <w:sz w:val="20"/>
          <w:szCs w:val="20"/>
          <w:color w:val="auto"/>
        </w:rPr>
      </w:pPr>
    </w:p>
    <w:p>
      <w:pPr>
        <w:ind w:left="720" w:right="800"/>
        <w:spacing w:after="0" w:line="248" w:lineRule="auto"/>
        <w:rPr>
          <w:sz w:val="20"/>
          <w:szCs w:val="20"/>
          <w:color w:val="auto"/>
        </w:rPr>
      </w:pPr>
      <w:r>
        <w:rPr>
          <w:rFonts w:ascii="Arial" w:cs="Arial" w:eastAsia="Arial" w:hAnsi="Arial"/>
          <w:sz w:val="16"/>
          <w:szCs w:val="16"/>
          <w:color w:val="auto"/>
        </w:rPr>
        <w:t>The members of our Nominating and Corporate Governance Committee are Messrs. Emanuel and Syed, and Ms. Tilenius. Mr. Syed chairs the Nominating and Corporate Governance Committee. Each member of our Nominating and Corporate Governance Committee is independent as currently defined under Nasdaq listing standards. Our Nominating and Corporate Governance Committee assists our Board of Directors with its oversight of and identification of individuals qualified to become members of our Board, consistent with criteria approved by our Board, and selects, or recommends that our Board selects, director nominees, develops and recommends to our Board a set of corporate governance guidelines, and oversees the evaluation of our Board. Among other matters, our Nominating and Corporate Governance Committee’s responsibilities include:</w:t>
      </w:r>
    </w:p>
    <w:p>
      <w:pPr>
        <w:spacing w:after="0" w:line="154" w:lineRule="exact"/>
        <w:rPr>
          <w:sz w:val="20"/>
          <w:szCs w:val="20"/>
          <w:color w:val="auto"/>
        </w:rPr>
      </w:pPr>
    </w:p>
    <w:p>
      <w:pPr>
        <w:ind w:left="1360" w:right="1080" w:hanging="284"/>
        <w:spacing w:after="0" w:line="260" w:lineRule="auto"/>
        <w:tabs>
          <w:tab w:leader="none" w:pos="1360" w:val="left"/>
        </w:tabs>
        <w:numPr>
          <w:ilvl w:val="0"/>
          <w:numId w:val="20"/>
        </w:numPr>
        <w:rPr>
          <w:rFonts w:ascii="Arial" w:cs="Arial" w:eastAsia="Arial" w:hAnsi="Arial"/>
          <w:sz w:val="16"/>
          <w:szCs w:val="16"/>
          <w:color w:val="42B6E9"/>
        </w:rPr>
      </w:pPr>
      <w:r>
        <w:rPr>
          <w:rFonts w:ascii="Arial" w:cs="Arial" w:eastAsia="Arial" w:hAnsi="Arial"/>
          <w:sz w:val="16"/>
          <w:szCs w:val="16"/>
          <w:color w:val="auto"/>
        </w:rPr>
        <w:t>Overseeing the Board evaluation process, including conducting periodic evaluations, and reviewing the composition and size of the Board;</w:t>
      </w:r>
    </w:p>
    <w:p>
      <w:pPr>
        <w:spacing w:after="0" w:line="141" w:lineRule="exact"/>
        <w:rPr>
          <w:rFonts w:ascii="Arial" w:cs="Arial" w:eastAsia="Arial" w:hAnsi="Arial"/>
          <w:sz w:val="16"/>
          <w:szCs w:val="16"/>
          <w:color w:val="42B6E9"/>
        </w:rPr>
      </w:pPr>
    </w:p>
    <w:p>
      <w:pPr>
        <w:ind w:left="1360" w:right="1000" w:hanging="284"/>
        <w:spacing w:after="0" w:line="260" w:lineRule="auto"/>
        <w:tabs>
          <w:tab w:leader="none" w:pos="1360" w:val="left"/>
        </w:tabs>
        <w:numPr>
          <w:ilvl w:val="0"/>
          <w:numId w:val="20"/>
        </w:numPr>
        <w:rPr>
          <w:rFonts w:ascii="Arial" w:cs="Arial" w:eastAsia="Arial" w:hAnsi="Arial"/>
          <w:sz w:val="16"/>
          <w:szCs w:val="16"/>
          <w:color w:val="42B6E9"/>
        </w:rPr>
      </w:pPr>
      <w:r>
        <w:rPr>
          <w:rFonts w:ascii="Arial" w:cs="Arial" w:eastAsia="Arial" w:hAnsi="Arial"/>
          <w:sz w:val="16"/>
          <w:szCs w:val="16"/>
          <w:color w:val="auto"/>
        </w:rPr>
        <w:t>Developing the criteria for Board membership and establishing procedures for the submission of director nominees to the Board;</w:t>
      </w:r>
    </w:p>
    <w:p>
      <w:pPr>
        <w:spacing w:after="0" w:line="141" w:lineRule="exact"/>
        <w:rPr>
          <w:rFonts w:ascii="Arial" w:cs="Arial" w:eastAsia="Arial" w:hAnsi="Arial"/>
          <w:sz w:val="16"/>
          <w:szCs w:val="16"/>
          <w:color w:val="42B6E9"/>
        </w:rPr>
      </w:pPr>
    </w:p>
    <w:p>
      <w:pPr>
        <w:ind w:left="1360" w:right="920" w:hanging="284"/>
        <w:spacing w:after="0" w:line="260" w:lineRule="auto"/>
        <w:tabs>
          <w:tab w:leader="none" w:pos="1360" w:val="left"/>
        </w:tabs>
        <w:numPr>
          <w:ilvl w:val="0"/>
          <w:numId w:val="20"/>
        </w:numPr>
        <w:rPr>
          <w:rFonts w:ascii="Arial" w:cs="Arial" w:eastAsia="Arial" w:hAnsi="Arial"/>
          <w:sz w:val="16"/>
          <w:szCs w:val="16"/>
          <w:color w:val="42B6E9"/>
        </w:rPr>
      </w:pPr>
      <w:r>
        <w:rPr>
          <w:rFonts w:ascii="Arial" w:cs="Arial" w:eastAsia="Arial" w:hAnsi="Arial"/>
          <w:sz w:val="16"/>
          <w:szCs w:val="16"/>
          <w:color w:val="auto"/>
        </w:rPr>
        <w:t>Reviewing the effectiveness of our Corporate Governance Guidelines and recommending proposed changes to the Board, including a review of the Board’s leadership structure; and</w:t>
      </w:r>
    </w:p>
    <w:p>
      <w:pPr>
        <w:spacing w:after="0" w:line="141" w:lineRule="exact"/>
        <w:rPr>
          <w:rFonts w:ascii="Arial" w:cs="Arial" w:eastAsia="Arial" w:hAnsi="Arial"/>
          <w:sz w:val="16"/>
          <w:szCs w:val="16"/>
          <w:color w:val="42B6E9"/>
        </w:rPr>
      </w:pPr>
    </w:p>
    <w:p>
      <w:pPr>
        <w:ind w:left="1360" w:right="1180" w:hanging="284"/>
        <w:spacing w:after="0" w:line="260" w:lineRule="auto"/>
        <w:tabs>
          <w:tab w:leader="none" w:pos="1360" w:val="left"/>
        </w:tabs>
        <w:numPr>
          <w:ilvl w:val="0"/>
          <w:numId w:val="20"/>
        </w:numPr>
        <w:rPr>
          <w:rFonts w:ascii="Arial" w:cs="Arial" w:eastAsia="Arial" w:hAnsi="Arial"/>
          <w:sz w:val="16"/>
          <w:szCs w:val="16"/>
          <w:color w:val="42B6E9"/>
        </w:rPr>
      </w:pPr>
      <w:r>
        <w:rPr>
          <w:rFonts w:ascii="Arial" w:cs="Arial" w:eastAsia="Arial" w:hAnsi="Arial"/>
          <w:sz w:val="16"/>
          <w:szCs w:val="16"/>
          <w:color w:val="auto"/>
        </w:rPr>
        <w:t>Developing recommendations for continuing education programs for directors and overseeing any programs relating to corporate responsibility.</w:t>
      </w:r>
    </w:p>
    <w:p>
      <w:pPr>
        <w:spacing w:after="0" w:line="141" w:lineRule="exact"/>
        <w:rPr>
          <w:sz w:val="20"/>
          <w:szCs w:val="20"/>
          <w:color w:val="auto"/>
        </w:rPr>
      </w:pPr>
    </w:p>
    <w:p>
      <w:pPr>
        <w:ind w:left="720" w:right="760"/>
        <w:spacing w:after="0" w:line="251" w:lineRule="auto"/>
        <w:rPr>
          <w:sz w:val="20"/>
          <w:szCs w:val="20"/>
          <w:color w:val="auto"/>
        </w:rPr>
      </w:pPr>
      <w:r>
        <w:rPr>
          <w:rFonts w:ascii="Arial" w:cs="Arial" w:eastAsia="Arial" w:hAnsi="Arial"/>
          <w:sz w:val="16"/>
          <w:szCs w:val="16"/>
          <w:color w:val="auto"/>
        </w:rPr>
        <w:t xml:space="preserve">Our Nominating and Corporate Governance Committee charter can be found on the “Corporate Governance” section of our corporate website at </w:t>
      </w:r>
      <w:r>
        <w:rPr>
          <w:rFonts w:ascii="Arial" w:cs="Arial" w:eastAsia="Arial" w:hAnsi="Arial"/>
          <w:sz w:val="16"/>
          <w:szCs w:val="16"/>
          <w:i w:val="1"/>
          <w:iCs w:val="1"/>
          <w:color w:val="auto"/>
        </w:rPr>
        <w:t>www.ir.wish.com</w:t>
      </w:r>
      <w:r>
        <w:rPr>
          <w:rFonts w:ascii="Arial" w:cs="Arial" w:eastAsia="Arial" w:hAnsi="Arial"/>
          <w:sz w:val="16"/>
          <w:szCs w:val="16"/>
          <w:color w:val="auto"/>
        </w:rPr>
        <w:t>. Each of Messrs. Emanuel and Syed, and Ms. Tilenius served on our Nominating and Corporate Governance Committee during 2020. Our Nominating and Corporate Governance Committee, which was formed in connection with our initial public offering in December 2020, did not meet in 2020.</w:t>
      </w:r>
    </w:p>
    <w:p>
      <w:pPr>
        <w:spacing w:after="0" w:line="148" w:lineRule="exact"/>
        <w:rPr>
          <w:sz w:val="20"/>
          <w:szCs w:val="20"/>
          <w:color w:val="auto"/>
        </w:rPr>
      </w:pPr>
    </w:p>
    <w:p>
      <w:pPr>
        <w:ind w:left="720" w:right="760"/>
        <w:spacing w:after="0" w:line="248" w:lineRule="auto"/>
        <w:rPr>
          <w:sz w:val="20"/>
          <w:szCs w:val="20"/>
          <w:color w:val="auto"/>
        </w:rPr>
      </w:pPr>
      <w:r>
        <w:rPr>
          <w:rFonts w:ascii="Arial" w:cs="Arial" w:eastAsia="Arial" w:hAnsi="Arial"/>
          <w:sz w:val="16"/>
          <w:szCs w:val="16"/>
          <w:color w:val="auto"/>
        </w:rPr>
        <w:t>Our Nominating and Corporate Governance Committee believes that the minimum qualifications and skills that candidates for director should possess include: (i) the highest professional and personal ethics and values, (ii) a commitment to enhancing stockholder value, and (iii) sufficient time to carry out their duties and to provide insight and practical wisdom based on experience. The Committee also considers the following factors, in no particular order of importance: (i) various and relevant career experience, (ii) relevant skills, such as an understanding of the Company’s business and technology, (iii) financial expertise, (iv) diversity, and (v) local and community ties. Notwithstanding the foregoing, our Nominating and Corporate Governance Committee retains the right to modify these qualifications from time to time.</w:t>
      </w:r>
    </w:p>
    <w:p>
      <w:pPr>
        <w:spacing w:after="0" w:line="154" w:lineRule="exact"/>
        <w:rPr>
          <w:sz w:val="20"/>
          <w:szCs w:val="20"/>
          <w:color w:val="auto"/>
        </w:rPr>
      </w:pPr>
    </w:p>
    <w:p>
      <w:pPr>
        <w:ind w:left="720" w:right="840"/>
        <w:spacing w:after="0" w:line="248" w:lineRule="auto"/>
        <w:rPr>
          <w:sz w:val="20"/>
          <w:szCs w:val="20"/>
          <w:color w:val="auto"/>
        </w:rPr>
      </w:pPr>
      <w:r>
        <w:rPr>
          <w:rFonts w:ascii="Arial" w:cs="Arial" w:eastAsia="Arial" w:hAnsi="Arial"/>
          <w:sz w:val="16"/>
          <w:szCs w:val="16"/>
          <w:color w:val="auto"/>
        </w:rPr>
        <w:t>Under our Corporate Governance Guidelines, diversity is one of several critical factors considered by the Nominating and Corporate Governance Committee when evaluating the composition of our Board of Directors, amongst other selection criteria. We consider various diversity factors when considering director candidates, including race, ethnicity, gender, age, professional experience, national origin, and geography. Our Board of Directors currently includes directors embodying a range of diversity. We believe each director contributes to our Board’s overall diversity by providing a variety of perspectives based on distinct personal and professional experiences and backgrounds. We are committed to maintaining and enhancing the diversity of our Board of Directors and in furtherance of this, the Nominating and Corporate Governance Committee will conduct annual self-evaluations to assess its performance and effectiveness, which we expect will include its consideration of diversity and other selection criteria.</w:t>
      </w:r>
    </w:p>
    <w:p>
      <w:pPr>
        <w:spacing w:after="0" w:line="153" w:lineRule="exact"/>
        <w:rPr>
          <w:sz w:val="20"/>
          <w:szCs w:val="20"/>
          <w:color w:val="auto"/>
        </w:rPr>
      </w:pPr>
    </w:p>
    <w:p>
      <w:pPr>
        <w:ind w:left="720" w:right="760"/>
        <w:spacing w:after="0" w:line="250" w:lineRule="auto"/>
        <w:rPr>
          <w:sz w:val="20"/>
          <w:szCs w:val="20"/>
          <w:color w:val="auto"/>
        </w:rPr>
      </w:pPr>
      <w:r>
        <w:rPr>
          <w:rFonts w:ascii="Arial" w:cs="Arial" w:eastAsia="Arial" w:hAnsi="Arial"/>
          <w:sz w:val="16"/>
          <w:szCs w:val="16"/>
          <w:color w:val="auto"/>
        </w:rPr>
        <w:t>Our Nominating and Corporate Governance Committee will consider director candidates recommended by stockholders and evaluate them using the same criteria as candidates identified by our Board or the Committee for consideration. If a stockholder of the Company wishes to recommend a director candidate for consideration by our Nominating and Corporate Governance Committee, the stockholder recommendation should be delivered to the Secretary of the Company at the principal executive offices of the Company, and must include information regarding the candidate and the stockholder making the recommendation.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ind w:left="4100"/>
              <w:spacing w:after="0"/>
              <w:rPr>
                <w:sz w:val="20"/>
                <w:szCs w:val="20"/>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11</w:t>
            </w:r>
          </w:p>
        </w:tc>
      </w:tr>
      <w:tr>
        <w:trPr>
          <w:trHeight w:val="181"/>
        </w:trPr>
        <w:tc>
          <w:tcPr>
            <w:tcW w:w="99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16" w:name="page17"/>
    <w:bookmarkEnd w:id="16"/>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42B6E9"/>
        </w:rPr>
        <w:t>DIRECTORS, EXECUTIVE OFFICERS, AND CORPORATE</w:t>
      </w:r>
    </w:p>
    <w:p>
      <w:pPr>
        <w:spacing w:after="0" w:line="10" w:lineRule="exact"/>
        <w:rPr>
          <w:sz w:val="20"/>
          <w:szCs w:val="20"/>
          <w:color w:val="auto"/>
        </w:rPr>
      </w:pPr>
    </w:p>
    <w:p>
      <w:pPr>
        <w:ind w:left="4"/>
        <w:spacing w:after="0"/>
        <w:rPr>
          <w:sz w:val="20"/>
          <w:szCs w:val="20"/>
          <w:color w:val="auto"/>
        </w:rPr>
      </w:pPr>
      <w:r>
        <w:rPr>
          <w:rFonts w:ascii="Arial" w:cs="Arial" w:eastAsia="Arial" w:hAnsi="Arial"/>
          <w:sz w:val="32"/>
          <w:szCs w:val="32"/>
          <w:color w:val="42B6E9"/>
        </w:rPr>
        <w:t>GOVERNANCE</w:t>
      </w:r>
    </w:p>
    <w:p>
      <w:pPr>
        <w:spacing w:after="0" w:line="10" w:lineRule="exact"/>
        <w:rPr>
          <w:sz w:val="20"/>
          <w:szCs w:val="20"/>
          <w:color w:val="auto"/>
        </w:rPr>
      </w:pPr>
    </w:p>
    <w:p>
      <w:pPr>
        <w:ind w:left="4"/>
        <w:spacing w:after="0"/>
        <w:rPr>
          <w:sz w:val="20"/>
          <w:szCs w:val="20"/>
          <w:color w:val="auto"/>
        </w:rPr>
      </w:pPr>
      <w:r>
        <w:rPr>
          <w:rFonts w:ascii="Arial" w:cs="Arial" w:eastAsia="Arial" w:hAnsi="Arial"/>
          <w:sz w:val="32"/>
          <w:szCs w:val="32"/>
          <w:color w:val="42B6E9"/>
        </w:rPr>
        <w:t>(continued)</w:t>
      </w:r>
    </w:p>
    <w:p>
      <w:pPr>
        <w:spacing w:after="0" w:line="378" w:lineRule="exact"/>
        <w:rPr>
          <w:sz w:val="20"/>
          <w:szCs w:val="20"/>
          <w:color w:val="auto"/>
        </w:rPr>
      </w:pPr>
    </w:p>
    <w:p>
      <w:pPr>
        <w:ind w:left="4"/>
        <w:spacing w:after="0"/>
        <w:rPr>
          <w:sz w:val="20"/>
          <w:szCs w:val="20"/>
          <w:color w:val="auto"/>
        </w:rPr>
      </w:pPr>
      <w:r>
        <w:rPr>
          <w:rFonts w:ascii="Arial" w:cs="Arial" w:eastAsia="Arial" w:hAnsi="Arial"/>
          <w:sz w:val="26"/>
          <w:szCs w:val="26"/>
          <w:color w:val="42B6E9"/>
        </w:rPr>
        <w:t>Compensation Committee Interlocks And Insider Participation</w:t>
      </w:r>
    </w:p>
    <w:p>
      <w:pPr>
        <w:spacing w:after="0" w:line="169" w:lineRule="exact"/>
        <w:rPr>
          <w:sz w:val="20"/>
          <w:szCs w:val="20"/>
          <w:color w:val="auto"/>
        </w:rPr>
      </w:pPr>
    </w:p>
    <w:p>
      <w:pPr>
        <w:ind w:left="4" w:right="40"/>
        <w:spacing w:after="0" w:line="251" w:lineRule="auto"/>
        <w:rPr>
          <w:sz w:val="20"/>
          <w:szCs w:val="20"/>
          <w:color w:val="auto"/>
        </w:rPr>
      </w:pPr>
      <w:r>
        <w:rPr>
          <w:rFonts w:ascii="Arial" w:cs="Arial" w:eastAsia="Arial" w:hAnsi="Arial"/>
          <w:sz w:val="16"/>
          <w:szCs w:val="16"/>
          <w:color w:val="auto"/>
        </w:rPr>
        <w:t>Each of Messrs. Lonsdale, Syed, and Tung, and Ms. Reses served on our Compensation Committee during 2020. None of the members of our Compensation Committee has at any time during the 2020 fiscal year (or at any other time) served as an officer or employee of the Company. None of our executive officers serves as a member of the Board of Directors or Compensation Committee of any entity that has one or more executive officers serving as a member of our Board of Directors or Compensation Committee.</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26"/>
          <w:szCs w:val="26"/>
          <w:color w:val="42B6E9"/>
        </w:rPr>
        <w:t>Board Leadership Structure</w:t>
      </w:r>
    </w:p>
    <w:p>
      <w:pPr>
        <w:spacing w:after="0" w:line="169" w:lineRule="exact"/>
        <w:rPr>
          <w:sz w:val="20"/>
          <w:szCs w:val="20"/>
          <w:color w:val="auto"/>
        </w:rPr>
      </w:pPr>
    </w:p>
    <w:p>
      <w:pPr>
        <w:ind w:left="4"/>
        <w:spacing w:after="0" w:line="248" w:lineRule="auto"/>
        <w:rPr>
          <w:sz w:val="20"/>
          <w:szCs w:val="20"/>
          <w:color w:val="auto"/>
        </w:rPr>
      </w:pPr>
      <w:r>
        <w:rPr>
          <w:rFonts w:ascii="Arial" w:cs="Arial" w:eastAsia="Arial" w:hAnsi="Arial"/>
          <w:sz w:val="16"/>
          <w:szCs w:val="16"/>
          <w:color w:val="auto"/>
        </w:rPr>
        <w:t>Our Board of Directors represents our stockholders and the Board’s primary purpose is to build long-term stockholder value. Our Board has combined the roles of Chairperson and Chief Executive Officer, held by Piotr Szulczewski. Our Board has determined that we would be best served by having a Chairperson with deep operational and strategic knowledge of our business. Our Board has also appointed Mr. Syed as our Lead Independent Director. Our Board has determined that we would be best served by also having a lead independent director to be responsible for conducting sessions with the independent directors as part of every Board of Directors meeting, calling special meetings of the independent directors, and chairing all meetings of the independent directors. The guidance and direction provided by our Lead Independent Director reinforces the Board’s independent oversight of management and improves communication among Board members.</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26"/>
          <w:szCs w:val="26"/>
          <w:color w:val="42B6E9"/>
        </w:rPr>
        <w:t>Risk Oversight Management</w:t>
      </w:r>
    </w:p>
    <w:p>
      <w:pPr>
        <w:spacing w:after="0" w:line="169" w:lineRule="exact"/>
        <w:rPr>
          <w:sz w:val="20"/>
          <w:szCs w:val="20"/>
          <w:color w:val="auto"/>
        </w:rPr>
      </w:pPr>
    </w:p>
    <w:p>
      <w:pPr>
        <w:ind w:left="4" w:right="60"/>
        <w:spacing w:after="0" w:line="247" w:lineRule="auto"/>
        <w:rPr>
          <w:sz w:val="20"/>
          <w:szCs w:val="20"/>
          <w:color w:val="auto"/>
        </w:rPr>
      </w:pPr>
      <w:r>
        <w:rPr>
          <w:rFonts w:ascii="Arial" w:cs="Arial" w:eastAsia="Arial" w:hAnsi="Arial"/>
          <w:sz w:val="16"/>
          <w:szCs w:val="16"/>
          <w:color w:val="auto"/>
        </w:rPr>
        <w:t>Our Board of Directors provides risk oversight for the Company by receiving management presentations, including risk assessments, from all functional areas of the Company, and discussing these assessments with management. In particular, our Board of Directors is responsible for monitoring and assessing strategic risk exposure. Our executive officers are responsible for the day-to-day management of the material risks we face. The risk oversight process includes receiving regular reports from Board committees and members of senior management to enable our Board of Directors to understand our risk identification, risk management, and risk mitigation strategies with respect to areas of potential material risk, including operations, finance, legal, regulatory, cyber security, strategic, and reputational risk. Our Board of Directors administers its oversight function directly as a whole, as well as through various standing committees of our Board of Directors that address risks inherent in their respective areas of oversight. Our Board of Directors has delegated responsibility related to certain risks to the Audit Committee, the Compensation Committee, and the Nominating and Corporate Governance Committee. The Audit Committee discusses with management and our independent registered public accounting firm our risk management guidelines and policies, our major financial risk exposures, and the steps taken to monitor and control such exposures. The Nominating and Corporate Governance Committee has primary responsibility to oversee risks related to Board structure and composition, and corporate governance.</w:t>
      </w:r>
    </w:p>
    <w:p>
      <w:pPr>
        <w:spacing w:after="0" w:line="157" w:lineRule="exact"/>
        <w:rPr>
          <w:sz w:val="20"/>
          <w:szCs w:val="20"/>
          <w:color w:val="auto"/>
        </w:rPr>
      </w:pPr>
    </w:p>
    <w:p>
      <w:pPr>
        <w:ind w:left="4" w:right="80"/>
        <w:spacing w:after="0" w:line="248" w:lineRule="auto"/>
        <w:rPr>
          <w:sz w:val="20"/>
          <w:szCs w:val="20"/>
          <w:color w:val="auto"/>
        </w:rPr>
      </w:pPr>
      <w:r>
        <w:rPr>
          <w:rFonts w:ascii="Arial" w:cs="Arial" w:eastAsia="Arial" w:hAnsi="Arial"/>
          <w:sz w:val="16"/>
          <w:szCs w:val="16"/>
          <w:color w:val="auto"/>
        </w:rPr>
        <w:t>Our Compensation Committee oversees risks related to our compensation programs, and discusses with management its annual assessment of employee compensation policies and programs. Based upon this review, our Compensation Committee believes that any risks arising from such policies and practices are not reasonably likely to have a material adverse effect on the Company in the future. Specifically, we believe that the elements of our compensation program do not encourage unnecessary or excessive risk taking. Base salaries are fixed in amount, and thus, do not encourage risk taking. A significant proportion of the compensation provided to our executives, and a material amount of the compensation provided to other employees, is in the form of long-term equity awards that are important to help further align employee interests with those of our stockholders. We do not believe that these awards encourage unnecessary or excessive risk taking because the ultimate value of the awards is tied to our stock price, and because awards are subject to long-term vesting schedules to help ensure that employees have significant value tied to long-term stock price performance.</w:t>
      </w:r>
    </w:p>
    <w:p>
      <w:pPr>
        <w:spacing w:after="0" w:line="331" w:lineRule="exact"/>
        <w:rPr>
          <w:sz w:val="20"/>
          <w:szCs w:val="20"/>
          <w:color w:val="auto"/>
        </w:rPr>
      </w:pPr>
    </w:p>
    <w:p>
      <w:pPr>
        <w:ind w:left="4"/>
        <w:spacing w:after="0"/>
        <w:rPr>
          <w:sz w:val="20"/>
          <w:szCs w:val="20"/>
          <w:color w:val="auto"/>
        </w:rPr>
      </w:pPr>
      <w:r>
        <w:rPr>
          <w:rFonts w:ascii="Arial" w:cs="Arial" w:eastAsia="Arial" w:hAnsi="Arial"/>
          <w:sz w:val="26"/>
          <w:szCs w:val="26"/>
          <w:color w:val="42B6E9"/>
        </w:rPr>
        <w:t>Stockholder Communications with our Board of Directors</w:t>
      </w:r>
    </w:p>
    <w:p>
      <w:pPr>
        <w:spacing w:after="0" w:line="169" w:lineRule="exact"/>
        <w:rPr>
          <w:sz w:val="20"/>
          <w:szCs w:val="20"/>
          <w:color w:val="auto"/>
        </w:rPr>
      </w:pPr>
    </w:p>
    <w:p>
      <w:pPr>
        <w:ind w:left="4" w:right="100"/>
        <w:spacing w:after="0" w:line="250" w:lineRule="auto"/>
        <w:rPr>
          <w:sz w:val="20"/>
          <w:szCs w:val="20"/>
          <w:color w:val="auto"/>
        </w:rPr>
      </w:pPr>
      <w:r>
        <w:rPr>
          <w:rFonts w:ascii="Arial" w:cs="Arial" w:eastAsia="Arial" w:hAnsi="Arial"/>
          <w:sz w:val="16"/>
          <w:szCs w:val="16"/>
          <w:color w:val="auto"/>
        </w:rPr>
        <w:t>Stockholders wishing to communicate with our Board of Directors or with an individual member of our Board of Directors may do so by writing to our Board of Directors or to the particular member of our Board of Directors, care of the General Counsel and Secretary by mail to our principal executive offices, Attention: General Counsel and Secretary. The front of the envelope should indicate that it contains stockholder communication. All clearly marked written communications, other than unsolicited advertising or promotional materials, are</w:t>
      </w:r>
    </w:p>
    <w:p>
      <w:pPr>
        <w:spacing w:after="0" w:line="188" w:lineRule="exact"/>
        <w:rPr>
          <w:sz w:val="20"/>
          <w:szCs w:val="20"/>
          <w:color w:val="auto"/>
        </w:rPr>
      </w:pPr>
    </w:p>
    <w:p>
      <w:pPr>
        <w:ind w:left="524" w:hanging="524"/>
        <w:spacing w:after="0"/>
        <w:tabs>
          <w:tab w:leader="none" w:pos="524" w:val="left"/>
        </w:tabs>
        <w:numPr>
          <w:ilvl w:val="0"/>
          <w:numId w:val="21"/>
        </w:numPr>
        <w:rPr>
          <w:rFonts w:ascii="Arial" w:cs="Arial" w:eastAsia="Arial" w:hAnsi="Arial"/>
          <w:sz w:val="14"/>
          <w:szCs w:val="14"/>
          <w:b w:val="1"/>
          <w:bCs w:val="1"/>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17" w:name="page18"/>
    <w:bookmarkEnd w:id="17"/>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42B6E9"/>
        </w:rPr>
        <w:t>DIRECTORS, EXECUTIVE OFFICERS, AND CORPORATE</w:t>
      </w:r>
    </w:p>
    <w:p>
      <w:pPr>
        <w:spacing w:after="0" w:line="10" w:lineRule="exact"/>
        <w:rPr>
          <w:sz w:val="20"/>
          <w:szCs w:val="20"/>
          <w:color w:val="auto"/>
        </w:rPr>
      </w:pPr>
    </w:p>
    <w:p>
      <w:pPr>
        <w:ind w:left="720"/>
        <w:spacing w:after="0"/>
        <w:rPr>
          <w:sz w:val="20"/>
          <w:szCs w:val="20"/>
          <w:color w:val="auto"/>
        </w:rPr>
      </w:pPr>
      <w:r>
        <w:rPr>
          <w:rFonts w:ascii="Arial" w:cs="Arial" w:eastAsia="Arial" w:hAnsi="Arial"/>
          <w:sz w:val="32"/>
          <w:szCs w:val="32"/>
          <w:color w:val="42B6E9"/>
        </w:rPr>
        <w:t>GOVERNANCE</w:t>
      </w:r>
    </w:p>
    <w:p>
      <w:pPr>
        <w:spacing w:after="0" w:line="10" w:lineRule="exact"/>
        <w:rPr>
          <w:sz w:val="20"/>
          <w:szCs w:val="20"/>
          <w:color w:val="auto"/>
        </w:rPr>
      </w:pPr>
    </w:p>
    <w:p>
      <w:pPr>
        <w:ind w:left="720"/>
        <w:spacing w:after="0"/>
        <w:rPr>
          <w:sz w:val="20"/>
          <w:szCs w:val="20"/>
          <w:color w:val="auto"/>
        </w:rPr>
      </w:pPr>
      <w:r>
        <w:rPr>
          <w:rFonts w:ascii="Arial" w:cs="Arial" w:eastAsia="Arial" w:hAnsi="Arial"/>
          <w:sz w:val="32"/>
          <w:szCs w:val="32"/>
          <w:color w:val="42B6E9"/>
        </w:rPr>
        <w:t>(continued)</w:t>
      </w:r>
    </w:p>
    <w:p>
      <w:pPr>
        <w:spacing w:after="0" w:line="386" w:lineRule="exact"/>
        <w:rPr>
          <w:sz w:val="20"/>
          <w:szCs w:val="20"/>
          <w:color w:val="auto"/>
        </w:rPr>
      </w:pPr>
    </w:p>
    <w:p>
      <w:pPr>
        <w:ind w:left="720" w:right="1040"/>
        <w:spacing w:after="0" w:line="253" w:lineRule="auto"/>
        <w:rPr>
          <w:sz w:val="20"/>
          <w:szCs w:val="20"/>
          <w:color w:val="auto"/>
        </w:rPr>
      </w:pPr>
      <w:r>
        <w:rPr>
          <w:rFonts w:ascii="Arial" w:cs="Arial" w:eastAsia="Arial" w:hAnsi="Arial"/>
          <w:sz w:val="16"/>
          <w:szCs w:val="16"/>
          <w:color w:val="auto"/>
        </w:rPr>
        <w:t>logged and copied, and forwarded to the director(s) to whom the communication was addressed. Please note that the foregoing communication procedure does not apply to: (i) stockholder proposals pursuant to Exchange Act Rule 14a-8 and communications made in connection with such proposals, or (ii) service of process or any other notice in a legal proceeding.</w:t>
      </w:r>
    </w:p>
    <w:p>
      <w:pPr>
        <w:spacing w:after="0" w:line="355" w:lineRule="exact"/>
        <w:rPr>
          <w:sz w:val="20"/>
          <w:szCs w:val="20"/>
          <w:color w:val="auto"/>
        </w:rPr>
      </w:pPr>
    </w:p>
    <w:p>
      <w:pPr>
        <w:ind w:left="720"/>
        <w:spacing w:after="0"/>
        <w:rPr>
          <w:sz w:val="20"/>
          <w:szCs w:val="20"/>
          <w:color w:val="auto"/>
        </w:rPr>
      </w:pPr>
      <w:r>
        <w:rPr>
          <w:rFonts w:ascii="Arial" w:cs="Arial" w:eastAsia="Arial" w:hAnsi="Arial"/>
          <w:sz w:val="26"/>
          <w:szCs w:val="26"/>
          <w:color w:val="42B6E9"/>
        </w:rPr>
        <w:t>Meetings of the Board of Directors</w:t>
      </w:r>
    </w:p>
    <w:p>
      <w:pPr>
        <w:spacing w:after="0" w:line="169" w:lineRule="exact"/>
        <w:rPr>
          <w:sz w:val="20"/>
          <w:szCs w:val="20"/>
          <w:color w:val="auto"/>
        </w:rPr>
      </w:pPr>
    </w:p>
    <w:p>
      <w:pPr>
        <w:ind w:left="720" w:right="820"/>
        <w:spacing w:after="0" w:line="249" w:lineRule="auto"/>
        <w:rPr>
          <w:sz w:val="20"/>
          <w:szCs w:val="20"/>
          <w:color w:val="auto"/>
        </w:rPr>
      </w:pPr>
      <w:r>
        <w:rPr>
          <w:rFonts w:ascii="Arial" w:cs="Arial" w:eastAsia="Arial" w:hAnsi="Arial"/>
          <w:sz w:val="16"/>
          <w:szCs w:val="16"/>
          <w:color w:val="auto"/>
        </w:rPr>
        <w:t>Our Board of Directors met 7 times during 2020. Each member of our Board of Directors attended 100% or more of the aggregate of the meetings of our Board of Directors and of the Committees on which he or she served, held during the period for which such member was a Director or Committee Member. Members of our Board of Directors and its Committees also consulted informally with management from time to time and acted at various times by written consent without a meeting during 2020. While we do not have a formal policy regarding attendance by members of our Board of Directors at our annual meetings of stockholders, all directors are encouraged to attend our 2021 Annual Meeting of Stockholders.</w:t>
      </w:r>
    </w:p>
    <w:p>
      <w:pPr>
        <w:spacing w:after="0" w:line="372" w:lineRule="exact"/>
        <w:rPr>
          <w:sz w:val="20"/>
          <w:szCs w:val="20"/>
          <w:color w:val="auto"/>
        </w:rPr>
      </w:pPr>
    </w:p>
    <w:p>
      <w:pPr>
        <w:ind w:left="720"/>
        <w:spacing w:after="0"/>
        <w:rPr>
          <w:sz w:val="20"/>
          <w:szCs w:val="20"/>
          <w:color w:val="auto"/>
        </w:rPr>
      </w:pPr>
      <w:r>
        <w:rPr>
          <w:rFonts w:ascii="Arial" w:cs="Arial" w:eastAsia="Arial" w:hAnsi="Arial"/>
          <w:sz w:val="26"/>
          <w:szCs w:val="26"/>
          <w:color w:val="42B6E9"/>
        </w:rPr>
        <w:t>Code of Conduct and Ethics</w:t>
      </w:r>
    </w:p>
    <w:p>
      <w:pPr>
        <w:spacing w:after="0" w:line="169" w:lineRule="exact"/>
        <w:rPr>
          <w:sz w:val="20"/>
          <w:szCs w:val="20"/>
          <w:color w:val="auto"/>
        </w:rPr>
      </w:pPr>
    </w:p>
    <w:p>
      <w:pPr>
        <w:ind w:left="720" w:right="740"/>
        <w:spacing w:after="0" w:line="248" w:lineRule="auto"/>
        <w:rPr>
          <w:sz w:val="20"/>
          <w:szCs w:val="20"/>
          <w:color w:val="auto"/>
        </w:rPr>
      </w:pPr>
      <w:r>
        <w:rPr>
          <w:rFonts w:ascii="Arial" w:cs="Arial" w:eastAsia="Arial" w:hAnsi="Arial"/>
          <w:sz w:val="16"/>
          <w:szCs w:val="16"/>
          <w:color w:val="auto"/>
        </w:rPr>
        <w:t xml:space="preserve">Our Board of Directors has adopted a Code of Conduct and Ethics, which applies to all of our employees, officers, and directors. We also expect our contractors, consultants, suppliers, agents, and other third parties to follow our Code of Conduct and Ethics in connection with their work for us. The full text of our Code of Conduct and Ethics is posted on the “Corporate Governance” section of our corporate website at </w:t>
      </w:r>
      <w:r>
        <w:rPr>
          <w:rFonts w:ascii="Arial" w:cs="Arial" w:eastAsia="Arial" w:hAnsi="Arial"/>
          <w:sz w:val="16"/>
          <w:szCs w:val="16"/>
          <w:i w:val="1"/>
          <w:iCs w:val="1"/>
          <w:color w:val="auto"/>
        </w:rPr>
        <w:t>www.ir.wish.com</w:t>
      </w:r>
      <w:r>
        <w:rPr>
          <w:rFonts w:ascii="Arial" w:cs="Arial" w:eastAsia="Arial" w:hAnsi="Arial"/>
          <w:sz w:val="16"/>
          <w:szCs w:val="16"/>
          <w:color w:val="auto"/>
        </w:rPr>
        <w:t>. We intend to disclose future amendments to, or waivers, of our Code of Conduct and Ethics as and to the extent required by SEC regulations, at the same location on our website identified above and in public filings. Our Code of Conduct and Ethics represents our commitment to business integrity. The purpose of our Code of Conduct and Ethics is to promote compliance with applicable laws, regulations, and company policies; address common ethical situations we could encounter in our business; promote integrity and the highest standards of ethical conduct; and avoid even the appearance of anything improper in connection with our business activities.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ind w:left="4100"/>
              <w:spacing w:after="0"/>
              <w:rPr>
                <w:sz w:val="20"/>
                <w:szCs w:val="20"/>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13</w:t>
            </w:r>
          </w:p>
        </w:tc>
      </w:tr>
      <w:tr>
        <w:trPr>
          <w:trHeight w:val="168"/>
        </w:trPr>
        <w:tc>
          <w:tcPr>
            <w:tcW w:w="99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18" w:name="page19"/>
    <w:bookmarkEnd w:id="18"/>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right="280"/>
        <w:spacing w:after="0" w:line="260" w:lineRule="auto"/>
        <w:rPr>
          <w:sz w:val="20"/>
          <w:szCs w:val="20"/>
          <w:color w:val="auto"/>
        </w:rPr>
      </w:pPr>
      <w:r>
        <w:rPr>
          <w:rFonts w:ascii="Arial" w:cs="Arial" w:eastAsia="Arial" w:hAnsi="Arial"/>
          <w:sz w:val="32"/>
          <w:szCs w:val="32"/>
          <w:color w:val="42B6E9"/>
        </w:rPr>
        <w:t>SECURITY OWNERSHIP OF CERTAIN BENEFICIAL OWNERS AND MANAGEMENT</w:t>
      </w:r>
    </w:p>
    <w:p>
      <w:pPr>
        <w:spacing w:after="0" w:line="146" w:lineRule="exact"/>
        <w:rPr>
          <w:sz w:val="20"/>
          <w:szCs w:val="20"/>
          <w:color w:val="auto"/>
        </w:rPr>
      </w:pPr>
    </w:p>
    <w:p>
      <w:pPr>
        <w:ind w:left="4" w:right="260"/>
        <w:spacing w:after="0" w:line="260" w:lineRule="auto"/>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April 15, 2021 for:</w:t>
      </w:r>
    </w:p>
    <w:p>
      <w:pPr>
        <w:spacing w:after="0" w:line="141" w:lineRule="exact"/>
        <w:rPr>
          <w:sz w:val="20"/>
          <w:szCs w:val="20"/>
          <w:color w:val="auto"/>
        </w:rPr>
      </w:pPr>
    </w:p>
    <w:p>
      <w:pPr>
        <w:ind w:left="284" w:right="60" w:hanging="284"/>
        <w:spacing w:after="0" w:line="260" w:lineRule="auto"/>
        <w:tabs>
          <w:tab w:leader="none" w:pos="284" w:val="left"/>
        </w:tabs>
        <w:numPr>
          <w:ilvl w:val="0"/>
          <w:numId w:val="22"/>
        </w:numPr>
        <w:rPr>
          <w:rFonts w:ascii="Arial" w:cs="Arial" w:eastAsia="Arial" w:hAnsi="Arial"/>
          <w:sz w:val="16"/>
          <w:szCs w:val="16"/>
          <w:color w:val="42B6E9"/>
        </w:rPr>
      </w:pPr>
      <w:r>
        <w:rPr>
          <w:rFonts w:ascii="Arial" w:cs="Arial" w:eastAsia="Arial" w:hAnsi="Arial"/>
          <w:sz w:val="16"/>
          <w:szCs w:val="16"/>
          <w:color w:val="auto"/>
        </w:rPr>
        <w:t>each stockholder known by us to be the beneficial owner of more than 5% of our outstanding shares of Class A common stock or Class B common stock;</w:t>
      </w:r>
    </w:p>
    <w:p>
      <w:pPr>
        <w:spacing w:after="0" w:line="141" w:lineRule="exact"/>
        <w:rPr>
          <w:rFonts w:ascii="Arial" w:cs="Arial" w:eastAsia="Arial" w:hAnsi="Arial"/>
          <w:sz w:val="16"/>
          <w:szCs w:val="16"/>
          <w:color w:val="42B6E9"/>
        </w:rPr>
      </w:pPr>
    </w:p>
    <w:p>
      <w:pPr>
        <w:ind w:left="284" w:hanging="284"/>
        <w:spacing w:after="0"/>
        <w:tabs>
          <w:tab w:leader="none" w:pos="284" w:val="left"/>
        </w:tabs>
        <w:numPr>
          <w:ilvl w:val="0"/>
          <w:numId w:val="22"/>
        </w:numPr>
        <w:rPr>
          <w:rFonts w:ascii="Arial" w:cs="Arial" w:eastAsia="Arial" w:hAnsi="Arial"/>
          <w:sz w:val="16"/>
          <w:szCs w:val="16"/>
          <w:color w:val="42B6E9"/>
        </w:rPr>
      </w:pPr>
      <w:r>
        <w:rPr>
          <w:rFonts w:ascii="Arial" w:cs="Arial" w:eastAsia="Arial" w:hAnsi="Arial"/>
          <w:sz w:val="16"/>
          <w:szCs w:val="16"/>
          <w:color w:val="auto"/>
        </w:rPr>
        <w:t>each of our directors and director nominees;</w:t>
      </w:r>
    </w:p>
    <w:p>
      <w:pPr>
        <w:spacing w:after="0" w:line="167" w:lineRule="exact"/>
        <w:rPr>
          <w:rFonts w:ascii="Arial" w:cs="Arial" w:eastAsia="Arial" w:hAnsi="Arial"/>
          <w:sz w:val="16"/>
          <w:szCs w:val="16"/>
          <w:color w:val="42B6E9"/>
        </w:rPr>
      </w:pPr>
    </w:p>
    <w:p>
      <w:pPr>
        <w:ind w:left="284" w:hanging="284"/>
        <w:spacing w:after="0"/>
        <w:tabs>
          <w:tab w:leader="none" w:pos="284" w:val="left"/>
        </w:tabs>
        <w:numPr>
          <w:ilvl w:val="0"/>
          <w:numId w:val="22"/>
        </w:numPr>
        <w:rPr>
          <w:rFonts w:ascii="Arial" w:cs="Arial" w:eastAsia="Arial" w:hAnsi="Arial"/>
          <w:sz w:val="16"/>
          <w:szCs w:val="16"/>
          <w:color w:val="42B6E9"/>
        </w:rPr>
      </w:pPr>
      <w:r>
        <w:rPr>
          <w:rFonts w:ascii="Arial" w:cs="Arial" w:eastAsia="Arial" w:hAnsi="Arial"/>
          <w:sz w:val="16"/>
          <w:szCs w:val="16"/>
          <w:color w:val="auto"/>
        </w:rPr>
        <w:t>each of our named executive officers; and</w:t>
      </w:r>
    </w:p>
    <w:p>
      <w:pPr>
        <w:spacing w:after="0" w:line="167" w:lineRule="exact"/>
        <w:rPr>
          <w:rFonts w:ascii="Arial" w:cs="Arial" w:eastAsia="Arial" w:hAnsi="Arial"/>
          <w:sz w:val="16"/>
          <w:szCs w:val="16"/>
          <w:color w:val="42B6E9"/>
        </w:rPr>
      </w:pPr>
    </w:p>
    <w:p>
      <w:pPr>
        <w:ind w:left="284" w:hanging="284"/>
        <w:spacing w:after="0"/>
        <w:tabs>
          <w:tab w:leader="none" w:pos="284" w:val="left"/>
        </w:tabs>
        <w:numPr>
          <w:ilvl w:val="0"/>
          <w:numId w:val="22"/>
        </w:numPr>
        <w:rPr>
          <w:rFonts w:ascii="Arial" w:cs="Arial" w:eastAsia="Arial" w:hAnsi="Arial"/>
          <w:sz w:val="16"/>
          <w:szCs w:val="16"/>
          <w:color w:val="42B6E9"/>
        </w:rPr>
      </w:pPr>
      <w:r>
        <w:rPr>
          <w:rFonts w:ascii="Arial" w:cs="Arial" w:eastAsia="Arial" w:hAnsi="Arial"/>
          <w:sz w:val="16"/>
          <w:szCs w:val="16"/>
          <w:color w:val="auto"/>
        </w:rPr>
        <w:t>all of our directors and executive officers as a group.</w:t>
      </w:r>
    </w:p>
    <w:p>
      <w:pPr>
        <w:spacing w:after="0" w:line="167" w:lineRule="exact"/>
        <w:rPr>
          <w:sz w:val="20"/>
          <w:szCs w:val="20"/>
          <w:color w:val="auto"/>
        </w:rPr>
      </w:pPr>
    </w:p>
    <w:p>
      <w:pPr>
        <w:ind w:left="4" w:right="220"/>
        <w:spacing w:after="0" w:line="251" w:lineRule="auto"/>
        <w:rPr>
          <w:sz w:val="20"/>
          <w:szCs w:val="20"/>
          <w:color w:val="auto"/>
        </w:rPr>
      </w:pPr>
      <w:r>
        <w:rPr>
          <w:rFonts w:ascii="Arial" w:cs="Arial" w:eastAsia="Arial" w:hAnsi="Arial"/>
          <w:sz w:val="16"/>
          <w:szCs w:val="16"/>
          <w:color w:val="auto"/>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Class A common stock or Class B common stock that they each beneficially own, subject to applicable community property laws.</w:t>
      </w:r>
    </w:p>
    <w:p>
      <w:pPr>
        <w:spacing w:after="0" w:line="148" w:lineRule="exact"/>
        <w:rPr>
          <w:sz w:val="20"/>
          <w:szCs w:val="20"/>
          <w:color w:val="auto"/>
        </w:rPr>
      </w:pPr>
    </w:p>
    <w:p>
      <w:pPr>
        <w:ind w:left="4" w:right="40"/>
        <w:spacing w:after="0" w:line="248" w:lineRule="auto"/>
        <w:rPr>
          <w:sz w:val="20"/>
          <w:szCs w:val="20"/>
          <w:color w:val="auto"/>
        </w:rPr>
      </w:pPr>
      <w:r>
        <w:rPr>
          <w:rFonts w:ascii="Arial" w:cs="Arial" w:eastAsia="Arial" w:hAnsi="Arial"/>
          <w:sz w:val="16"/>
          <w:szCs w:val="16"/>
          <w:color w:val="auto"/>
        </w:rPr>
        <w:t>We have based our calculation of the percentage of beneficial ownership on 504,180,893 shares of our Class A common stock and 114,813,477 shares of our Class B common stock outstanding as of April 15, 2021. We have deemed shares of our Class B common stock subject to stock options that are currently exercisable or exercisable within 60 days of April 15, 2021 or issuable pursuant to RSUs which are subject to vesting and settlement conditions expected to occur within 60 days of April 15, 2021 (assuming the satisfaction of the liquidity-based vesting condition)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spacing w:after="0" w:line="138" w:lineRule="exact"/>
        <w:rPr>
          <w:sz w:val="20"/>
          <w:szCs w:val="20"/>
          <w:color w:val="auto"/>
        </w:rPr>
      </w:pPr>
    </w:p>
    <w:p>
      <w:pPr>
        <w:ind w:left="4" w:right="620"/>
        <w:spacing w:after="0" w:line="198" w:lineRule="auto"/>
        <w:rPr>
          <w:sz w:val="20"/>
          <w:szCs w:val="20"/>
          <w:color w:val="auto"/>
        </w:rPr>
      </w:pPr>
      <w:r>
        <w:rPr>
          <w:rFonts w:ascii="Arial" w:cs="Arial" w:eastAsia="Arial" w:hAnsi="Arial"/>
          <w:sz w:val="16"/>
          <w:szCs w:val="16"/>
          <w:color w:val="auto"/>
        </w:rPr>
        <w:t>Unless otherwise indicated, the address of each beneficial owner listed in the table below is One Sansome Street, 40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San Francisco, California 94104.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38735</wp:posOffset>
            </wp:positionV>
            <wp:extent cx="6077585" cy="51689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77585" cy="5168900"/>
                    </a:xfrm>
                    <a:prstGeom prst="rect">
                      <a:avLst/>
                    </a:prstGeom>
                    <a:noFill/>
                  </pic:spPr>
                </pic:pic>
              </a:graphicData>
            </a:graphic>
          </wp:anchor>
        </w:drawing>
      </w:r>
    </w:p>
    <w:p>
      <w:pPr>
        <w:spacing w:after="0" w:line="41" w:lineRule="exact"/>
        <w:rPr>
          <w:sz w:val="20"/>
          <w:szCs w:val="20"/>
          <w:color w:val="auto"/>
        </w:rPr>
      </w:pPr>
    </w:p>
    <w:tbl>
      <w:tblPr>
        <w:tblLayout w:type="fixed"/>
        <w:tblInd w:w="4" w:type="dxa"/>
        <w:tblCellMar>
          <w:top w:w="0" w:type="dxa"/>
          <w:left w:w="0" w:type="dxa"/>
          <w:bottom w:w="0" w:type="dxa"/>
          <w:right w:w="0" w:type="dxa"/>
        </w:tblCellMar>
      </w:tblPr>
      <w:tr>
        <w:trPr>
          <w:trHeight w:val="285"/>
        </w:trPr>
        <w:tc>
          <w:tcPr>
            <w:tcW w:w="3260" w:type="dxa"/>
            <w:vAlign w:val="bottom"/>
            <w:shd w:val="clear" w:color="auto" w:fill="42B6E9"/>
          </w:tcPr>
          <w:p>
            <w:pPr>
              <w:spacing w:after="0"/>
              <w:rPr>
                <w:sz w:val="24"/>
                <w:szCs w:val="24"/>
                <w:color w:val="auto"/>
              </w:rPr>
            </w:pPr>
          </w:p>
        </w:tc>
        <w:tc>
          <w:tcPr>
            <w:tcW w:w="1560" w:type="dxa"/>
            <w:vAlign w:val="bottom"/>
            <w:shd w:val="clear" w:color="auto" w:fill="42B6E9"/>
          </w:tcPr>
          <w:p>
            <w:pPr>
              <w:spacing w:after="0"/>
              <w:rPr>
                <w:sz w:val="24"/>
                <w:szCs w:val="24"/>
                <w:color w:val="auto"/>
              </w:rPr>
            </w:pPr>
          </w:p>
        </w:tc>
        <w:tc>
          <w:tcPr>
            <w:tcW w:w="2460" w:type="dxa"/>
            <w:vAlign w:val="bottom"/>
            <w:gridSpan w:val="2"/>
            <w:shd w:val="clear" w:color="auto" w:fill="42B6E9"/>
          </w:tcPr>
          <w:p>
            <w:pPr>
              <w:jc w:val="right"/>
              <w:ind w:right="440"/>
              <w:spacing w:after="0"/>
              <w:rPr>
                <w:sz w:val="20"/>
                <w:szCs w:val="20"/>
                <w:color w:val="auto"/>
              </w:rPr>
            </w:pPr>
            <w:r>
              <w:rPr>
                <w:rFonts w:ascii="Arial" w:cs="Arial" w:eastAsia="Arial" w:hAnsi="Arial"/>
                <w:sz w:val="14"/>
                <w:szCs w:val="14"/>
                <w:b w:val="1"/>
                <w:bCs w:val="1"/>
                <w:color w:val="FFFFFF"/>
              </w:rPr>
              <w:t>Shares Beneficially Owned</w:t>
            </w:r>
          </w:p>
        </w:tc>
        <w:tc>
          <w:tcPr>
            <w:tcW w:w="860" w:type="dxa"/>
            <w:vAlign w:val="bottom"/>
            <w:shd w:val="clear" w:color="auto" w:fill="42B6E9"/>
          </w:tcPr>
          <w:p>
            <w:pPr>
              <w:spacing w:after="0"/>
              <w:rPr>
                <w:sz w:val="24"/>
                <w:szCs w:val="24"/>
                <w:color w:val="auto"/>
              </w:rPr>
            </w:pPr>
          </w:p>
        </w:tc>
        <w:tc>
          <w:tcPr>
            <w:tcW w:w="1420" w:type="dxa"/>
            <w:vAlign w:val="bottom"/>
            <w:vMerge w:val="restart"/>
            <w:shd w:val="clear" w:color="auto" w:fill="42B6E9"/>
          </w:tcPr>
          <w:p>
            <w:pPr>
              <w:jc w:val="center"/>
              <w:ind w:left="60"/>
              <w:spacing w:after="0"/>
              <w:rPr>
                <w:sz w:val="20"/>
                <w:szCs w:val="20"/>
                <w:color w:val="auto"/>
              </w:rPr>
            </w:pPr>
            <w:r>
              <w:rPr>
                <w:rFonts w:ascii="Arial" w:cs="Arial" w:eastAsia="Arial" w:hAnsi="Arial"/>
                <w:sz w:val="14"/>
                <w:szCs w:val="14"/>
                <w:b w:val="1"/>
                <w:bCs w:val="1"/>
                <w:color w:val="FFFFFF"/>
              </w:rPr>
              <w:t>% of Total</w:t>
            </w:r>
          </w:p>
        </w:tc>
        <w:tc>
          <w:tcPr>
            <w:tcW w:w="0" w:type="dxa"/>
            <w:vAlign w:val="bottom"/>
          </w:tcPr>
          <w:p>
            <w:pPr>
              <w:spacing w:after="0"/>
              <w:rPr>
                <w:sz w:val="1"/>
                <w:szCs w:val="1"/>
                <w:color w:val="auto"/>
              </w:rPr>
            </w:pPr>
          </w:p>
        </w:tc>
      </w:tr>
      <w:tr>
        <w:trPr>
          <w:trHeight w:val="80"/>
        </w:trPr>
        <w:tc>
          <w:tcPr>
            <w:tcW w:w="3260" w:type="dxa"/>
            <w:vAlign w:val="bottom"/>
            <w:shd w:val="clear" w:color="auto" w:fill="42B6E9"/>
          </w:tcPr>
          <w:p>
            <w:pPr>
              <w:spacing w:after="0"/>
              <w:rPr>
                <w:sz w:val="6"/>
                <w:szCs w:val="6"/>
                <w:color w:val="auto"/>
              </w:rPr>
            </w:pPr>
          </w:p>
        </w:tc>
        <w:tc>
          <w:tcPr>
            <w:tcW w:w="1560" w:type="dxa"/>
            <w:vAlign w:val="bottom"/>
            <w:shd w:val="clear" w:color="auto" w:fill="42B6E9"/>
          </w:tcPr>
          <w:p>
            <w:pPr>
              <w:spacing w:after="0"/>
              <w:rPr>
                <w:sz w:val="6"/>
                <w:szCs w:val="6"/>
                <w:color w:val="auto"/>
              </w:rPr>
            </w:pPr>
          </w:p>
        </w:tc>
        <w:tc>
          <w:tcPr>
            <w:tcW w:w="1020" w:type="dxa"/>
            <w:vAlign w:val="bottom"/>
            <w:shd w:val="clear" w:color="auto" w:fill="42B6E9"/>
          </w:tcPr>
          <w:p>
            <w:pPr>
              <w:spacing w:after="0"/>
              <w:rPr>
                <w:sz w:val="6"/>
                <w:szCs w:val="6"/>
                <w:color w:val="auto"/>
              </w:rPr>
            </w:pPr>
          </w:p>
        </w:tc>
        <w:tc>
          <w:tcPr>
            <w:tcW w:w="1440" w:type="dxa"/>
            <w:vAlign w:val="bottom"/>
            <w:shd w:val="clear" w:color="auto" w:fill="42B6E9"/>
          </w:tcPr>
          <w:p>
            <w:pPr>
              <w:spacing w:after="0"/>
              <w:rPr>
                <w:sz w:val="6"/>
                <w:szCs w:val="6"/>
                <w:color w:val="auto"/>
              </w:rPr>
            </w:pPr>
          </w:p>
        </w:tc>
        <w:tc>
          <w:tcPr>
            <w:tcW w:w="860" w:type="dxa"/>
            <w:vAlign w:val="bottom"/>
            <w:shd w:val="clear" w:color="auto" w:fill="42B6E9"/>
          </w:tcPr>
          <w:p>
            <w:pPr>
              <w:spacing w:after="0"/>
              <w:rPr>
                <w:sz w:val="6"/>
                <w:szCs w:val="6"/>
                <w:color w:val="auto"/>
              </w:rPr>
            </w:pPr>
          </w:p>
        </w:tc>
        <w:tc>
          <w:tcPr>
            <w:tcW w:w="1420" w:type="dxa"/>
            <w:vAlign w:val="bottom"/>
            <w:vMerge w:val="continue"/>
            <w:shd w:val="clear" w:color="auto" w:fill="42B6E9"/>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42B6E9"/>
          </w:tcPr>
          <w:p>
            <w:pPr>
              <w:spacing w:after="0"/>
              <w:rPr>
                <w:sz w:val="12"/>
                <w:szCs w:val="12"/>
                <w:color w:val="auto"/>
              </w:rPr>
            </w:pPr>
          </w:p>
        </w:tc>
        <w:tc>
          <w:tcPr>
            <w:tcW w:w="1560" w:type="dxa"/>
            <w:vAlign w:val="bottom"/>
            <w:shd w:val="clear" w:color="auto" w:fill="42B6E9"/>
          </w:tcPr>
          <w:p>
            <w:pPr>
              <w:jc w:val="right"/>
              <w:ind w:right="240"/>
              <w:spacing w:after="0" w:line="148" w:lineRule="exact"/>
              <w:rPr>
                <w:sz w:val="20"/>
                <w:szCs w:val="20"/>
                <w:color w:val="auto"/>
              </w:rPr>
            </w:pPr>
            <w:r>
              <w:rPr>
                <w:rFonts w:ascii="Arial" w:cs="Arial" w:eastAsia="Arial" w:hAnsi="Arial"/>
                <w:sz w:val="14"/>
                <w:szCs w:val="14"/>
                <w:b w:val="1"/>
                <w:bCs w:val="1"/>
                <w:color w:val="FFFFFF"/>
              </w:rPr>
              <w:t>Class A</w:t>
            </w:r>
          </w:p>
        </w:tc>
        <w:tc>
          <w:tcPr>
            <w:tcW w:w="1020" w:type="dxa"/>
            <w:vAlign w:val="bottom"/>
            <w:shd w:val="clear" w:color="auto" w:fill="42B6E9"/>
          </w:tcPr>
          <w:p>
            <w:pPr>
              <w:spacing w:after="0"/>
              <w:rPr>
                <w:sz w:val="12"/>
                <w:szCs w:val="12"/>
                <w:color w:val="auto"/>
              </w:rPr>
            </w:pPr>
          </w:p>
        </w:tc>
        <w:tc>
          <w:tcPr>
            <w:tcW w:w="1440" w:type="dxa"/>
            <w:vAlign w:val="bottom"/>
            <w:shd w:val="clear" w:color="auto" w:fill="42B6E9"/>
          </w:tcPr>
          <w:p>
            <w:pPr>
              <w:jc w:val="right"/>
              <w:ind w:right="400"/>
              <w:spacing w:after="0" w:line="148" w:lineRule="exact"/>
              <w:rPr>
                <w:sz w:val="20"/>
                <w:szCs w:val="20"/>
                <w:color w:val="auto"/>
              </w:rPr>
            </w:pPr>
            <w:r>
              <w:rPr>
                <w:rFonts w:ascii="Arial" w:cs="Arial" w:eastAsia="Arial" w:hAnsi="Arial"/>
                <w:sz w:val="14"/>
                <w:szCs w:val="14"/>
                <w:b w:val="1"/>
                <w:bCs w:val="1"/>
                <w:color w:val="FFFFFF"/>
              </w:rPr>
              <w:t>Class B</w:t>
            </w:r>
          </w:p>
        </w:tc>
        <w:tc>
          <w:tcPr>
            <w:tcW w:w="860" w:type="dxa"/>
            <w:vAlign w:val="bottom"/>
            <w:shd w:val="clear" w:color="auto" w:fill="42B6E9"/>
          </w:tcPr>
          <w:p>
            <w:pPr>
              <w:spacing w:after="0"/>
              <w:rPr>
                <w:sz w:val="12"/>
                <w:szCs w:val="12"/>
                <w:color w:val="auto"/>
              </w:rPr>
            </w:pPr>
          </w:p>
        </w:tc>
        <w:tc>
          <w:tcPr>
            <w:tcW w:w="1420" w:type="dxa"/>
            <w:vAlign w:val="bottom"/>
            <w:shd w:val="clear" w:color="auto" w:fill="42B6E9"/>
          </w:tcPr>
          <w:p>
            <w:pPr>
              <w:jc w:val="center"/>
              <w:ind w:left="100"/>
              <w:spacing w:after="0" w:line="148" w:lineRule="exact"/>
              <w:rPr>
                <w:sz w:val="20"/>
                <w:szCs w:val="20"/>
                <w:color w:val="auto"/>
              </w:rPr>
            </w:pPr>
            <w:r>
              <w:rPr>
                <w:rFonts w:ascii="Arial" w:cs="Arial" w:eastAsia="Arial" w:hAnsi="Arial"/>
                <w:sz w:val="14"/>
                <w:szCs w:val="14"/>
                <w:b w:val="1"/>
                <w:bCs w:val="1"/>
                <w:color w:val="FFFFFF"/>
              </w:rPr>
              <w:t>Voting</w:t>
            </w:r>
          </w:p>
        </w:tc>
        <w:tc>
          <w:tcPr>
            <w:tcW w:w="0" w:type="dxa"/>
            <w:vAlign w:val="bottom"/>
          </w:tcPr>
          <w:p>
            <w:pPr>
              <w:spacing w:after="0"/>
              <w:rPr>
                <w:sz w:val="1"/>
                <w:szCs w:val="1"/>
                <w:color w:val="auto"/>
              </w:rPr>
            </w:pPr>
          </w:p>
        </w:tc>
      </w:tr>
      <w:tr>
        <w:trPr>
          <w:trHeight w:val="243"/>
        </w:trPr>
        <w:tc>
          <w:tcPr>
            <w:tcW w:w="3260" w:type="dxa"/>
            <w:vAlign w:val="bottom"/>
            <w:shd w:val="clear" w:color="auto" w:fill="42B6E9"/>
          </w:tcPr>
          <w:p>
            <w:pPr>
              <w:ind w:left="60"/>
              <w:spacing w:after="0"/>
              <w:rPr>
                <w:sz w:val="20"/>
                <w:szCs w:val="20"/>
                <w:color w:val="auto"/>
              </w:rPr>
            </w:pPr>
            <w:r>
              <w:rPr>
                <w:rFonts w:ascii="Arial" w:cs="Arial" w:eastAsia="Arial" w:hAnsi="Arial"/>
                <w:sz w:val="14"/>
                <w:szCs w:val="14"/>
                <w:b w:val="1"/>
                <w:bCs w:val="1"/>
                <w:color w:val="FFFFFF"/>
              </w:rPr>
              <w:t>Name of Beneficial Owner</w:t>
            </w:r>
          </w:p>
        </w:tc>
        <w:tc>
          <w:tcPr>
            <w:tcW w:w="1560" w:type="dxa"/>
            <w:vAlign w:val="bottom"/>
            <w:shd w:val="clear" w:color="auto" w:fill="42B6E9"/>
          </w:tcPr>
          <w:p>
            <w:pPr>
              <w:jc w:val="right"/>
              <w:ind w:right="240"/>
              <w:spacing w:after="0"/>
              <w:rPr>
                <w:sz w:val="20"/>
                <w:szCs w:val="20"/>
                <w:color w:val="auto"/>
              </w:rPr>
            </w:pPr>
            <w:r>
              <w:rPr>
                <w:rFonts w:ascii="Arial" w:cs="Arial" w:eastAsia="Arial" w:hAnsi="Arial"/>
                <w:sz w:val="14"/>
                <w:szCs w:val="14"/>
                <w:b w:val="1"/>
                <w:bCs w:val="1"/>
                <w:color w:val="FFFFFF"/>
              </w:rPr>
              <w:t>Shares</w:t>
            </w:r>
          </w:p>
        </w:tc>
        <w:tc>
          <w:tcPr>
            <w:tcW w:w="1020" w:type="dxa"/>
            <w:vAlign w:val="bottom"/>
            <w:shd w:val="clear" w:color="auto" w:fill="42B6E9"/>
          </w:tcPr>
          <w:p>
            <w:pPr>
              <w:jc w:val="center"/>
              <w:ind w:left="80"/>
              <w:spacing w:after="0"/>
              <w:rPr>
                <w:sz w:val="20"/>
                <w:szCs w:val="20"/>
                <w:color w:val="auto"/>
              </w:rPr>
            </w:pPr>
            <w:r>
              <w:rPr>
                <w:rFonts w:ascii="Arial" w:cs="Arial" w:eastAsia="Arial" w:hAnsi="Arial"/>
                <w:sz w:val="14"/>
                <w:szCs w:val="14"/>
                <w:b w:val="1"/>
                <w:bCs w:val="1"/>
                <w:color w:val="FFFFFF"/>
              </w:rPr>
              <w:t>%</w:t>
            </w:r>
          </w:p>
        </w:tc>
        <w:tc>
          <w:tcPr>
            <w:tcW w:w="1440" w:type="dxa"/>
            <w:vAlign w:val="bottom"/>
            <w:shd w:val="clear" w:color="auto" w:fill="42B6E9"/>
          </w:tcPr>
          <w:p>
            <w:pPr>
              <w:jc w:val="right"/>
              <w:ind w:right="400"/>
              <w:spacing w:after="0"/>
              <w:rPr>
                <w:sz w:val="20"/>
                <w:szCs w:val="20"/>
                <w:color w:val="auto"/>
              </w:rPr>
            </w:pPr>
            <w:r>
              <w:rPr>
                <w:rFonts w:ascii="Arial" w:cs="Arial" w:eastAsia="Arial" w:hAnsi="Arial"/>
                <w:sz w:val="14"/>
                <w:szCs w:val="14"/>
                <w:b w:val="1"/>
                <w:bCs w:val="1"/>
                <w:color w:val="FFFFFF"/>
              </w:rPr>
              <w:t>Shares</w:t>
            </w:r>
          </w:p>
        </w:tc>
        <w:tc>
          <w:tcPr>
            <w:tcW w:w="86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w w:val="96"/>
              </w:rPr>
              <w:t>%</w:t>
            </w:r>
          </w:p>
        </w:tc>
        <w:tc>
          <w:tcPr>
            <w:tcW w:w="1420" w:type="dxa"/>
            <w:vAlign w:val="bottom"/>
            <w:shd w:val="clear" w:color="auto" w:fill="42B6E9"/>
          </w:tcPr>
          <w:p>
            <w:pPr>
              <w:jc w:val="center"/>
              <w:ind w:left="120"/>
              <w:spacing w:after="0" w:line="243" w:lineRule="exact"/>
              <w:rPr>
                <w:sz w:val="20"/>
                <w:szCs w:val="20"/>
                <w:color w:val="auto"/>
              </w:rPr>
            </w:pPr>
            <w:r>
              <w:rPr>
                <w:rFonts w:ascii="Arial" w:cs="Arial" w:eastAsia="Arial" w:hAnsi="Arial"/>
                <w:sz w:val="14"/>
                <w:szCs w:val="14"/>
                <w:b w:val="1"/>
                <w:bCs w:val="1"/>
                <w:color w:val="FFFFFF"/>
                <w:w w:val="95"/>
              </w:rPr>
              <w:t>Power</w:t>
            </w:r>
            <w:r>
              <w:rPr>
                <w:rFonts w:ascii="Arial" w:cs="Arial" w:eastAsia="Arial" w:hAnsi="Arial"/>
                <w:sz w:val="23"/>
                <w:szCs w:val="23"/>
                <w:b w:val="1"/>
                <w:bCs w:val="1"/>
                <w:color w:val="FFFFFF"/>
                <w:w w:val="95"/>
                <w:vertAlign w:val="superscript"/>
              </w:rPr>
              <w:t>(1)</w:t>
            </w:r>
          </w:p>
        </w:tc>
        <w:tc>
          <w:tcPr>
            <w:tcW w:w="0" w:type="dxa"/>
            <w:vAlign w:val="bottom"/>
          </w:tcPr>
          <w:p>
            <w:pPr>
              <w:spacing w:after="0"/>
              <w:rPr>
                <w:sz w:val="1"/>
                <w:szCs w:val="1"/>
                <w:color w:val="auto"/>
              </w:rPr>
            </w:pPr>
          </w:p>
        </w:tc>
      </w:tr>
      <w:tr>
        <w:trPr>
          <w:trHeight w:val="250"/>
        </w:trPr>
        <w:tc>
          <w:tcPr>
            <w:tcW w:w="3260" w:type="dxa"/>
            <w:vAlign w:val="bottom"/>
          </w:tcPr>
          <w:p>
            <w:pPr>
              <w:ind w:left="60"/>
              <w:spacing w:after="0"/>
              <w:rPr>
                <w:sz w:val="20"/>
                <w:szCs w:val="20"/>
                <w:color w:val="auto"/>
              </w:rPr>
            </w:pPr>
            <w:r>
              <w:rPr>
                <w:rFonts w:ascii="Arial" w:cs="Arial" w:eastAsia="Arial" w:hAnsi="Arial"/>
                <w:sz w:val="16"/>
                <w:szCs w:val="16"/>
                <w:b w:val="1"/>
                <w:bCs w:val="1"/>
                <w:color w:val="42B6E9"/>
              </w:rPr>
              <w:t>Named Executive Officers and Directors:</w:t>
            </w:r>
          </w:p>
        </w:tc>
        <w:tc>
          <w:tcPr>
            <w:tcW w:w="1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3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3260" w:type="dxa"/>
            <w:vAlign w:val="bottom"/>
            <w:shd w:val="clear" w:color="auto" w:fill="E9F8FD"/>
          </w:tcPr>
          <w:p>
            <w:pPr>
              <w:ind w:left="60"/>
              <w:spacing w:after="0" w:line="297" w:lineRule="exact"/>
              <w:rPr>
                <w:sz w:val="20"/>
                <w:szCs w:val="20"/>
                <w:color w:val="auto"/>
              </w:rPr>
            </w:pPr>
            <w:r>
              <w:rPr>
                <w:rFonts w:ascii="Arial" w:cs="Arial" w:eastAsia="Arial" w:hAnsi="Arial"/>
                <w:sz w:val="16"/>
                <w:szCs w:val="16"/>
                <w:color w:val="42B6E9"/>
              </w:rPr>
              <w:t>Piotr Szulczewski</w:t>
            </w:r>
            <w:r>
              <w:rPr>
                <w:rFonts w:ascii="Arial" w:cs="Arial" w:eastAsia="Arial" w:hAnsi="Arial"/>
                <w:sz w:val="26"/>
                <w:szCs w:val="26"/>
                <w:color w:val="42B6E9"/>
                <w:vertAlign w:val="superscript"/>
              </w:rPr>
              <w:t>(2)</w:t>
            </w:r>
          </w:p>
        </w:tc>
        <w:tc>
          <w:tcPr>
            <w:tcW w:w="1560" w:type="dxa"/>
            <w:vAlign w:val="bottom"/>
            <w:shd w:val="clear" w:color="auto" w:fill="E9F8FD"/>
          </w:tcPr>
          <w:p>
            <w:pPr>
              <w:jc w:val="right"/>
              <w:ind w:right="40"/>
              <w:spacing w:after="0"/>
              <w:rPr>
                <w:sz w:val="20"/>
                <w:szCs w:val="20"/>
                <w:color w:val="auto"/>
              </w:rPr>
            </w:pPr>
            <w:r>
              <w:rPr>
                <w:rFonts w:ascii="Arial" w:cs="Arial" w:eastAsia="Arial" w:hAnsi="Arial"/>
                <w:sz w:val="16"/>
                <w:szCs w:val="16"/>
                <w:color w:val="42B6E9"/>
              </w:rPr>
              <w:t>—</w:t>
            </w:r>
          </w:p>
        </w:tc>
        <w:tc>
          <w:tcPr>
            <w:tcW w:w="1020" w:type="dxa"/>
            <w:vAlign w:val="bottom"/>
            <w:shd w:val="clear" w:color="auto" w:fill="E9F8FD"/>
          </w:tcPr>
          <w:p>
            <w:pPr>
              <w:jc w:val="center"/>
              <w:ind w:left="100"/>
              <w:spacing w:after="0"/>
              <w:rPr>
                <w:sz w:val="20"/>
                <w:szCs w:val="20"/>
                <w:color w:val="auto"/>
              </w:rPr>
            </w:pPr>
            <w:r>
              <w:rPr>
                <w:rFonts w:ascii="Arial" w:cs="Arial" w:eastAsia="Arial" w:hAnsi="Arial"/>
                <w:sz w:val="16"/>
                <w:szCs w:val="16"/>
                <w:color w:val="42B6E9"/>
                <w:w w:val="99"/>
              </w:rPr>
              <w:t>—</w:t>
            </w:r>
          </w:p>
        </w:tc>
        <w:tc>
          <w:tcPr>
            <w:tcW w:w="1440" w:type="dxa"/>
            <w:vAlign w:val="bottom"/>
            <w:shd w:val="clear" w:color="auto" w:fill="E9F8FD"/>
          </w:tcPr>
          <w:p>
            <w:pPr>
              <w:jc w:val="right"/>
              <w:ind w:right="180"/>
              <w:spacing w:after="0"/>
              <w:rPr>
                <w:sz w:val="20"/>
                <w:szCs w:val="20"/>
                <w:color w:val="auto"/>
              </w:rPr>
            </w:pPr>
            <w:r>
              <w:rPr>
                <w:rFonts w:ascii="Arial" w:cs="Arial" w:eastAsia="Arial" w:hAnsi="Arial"/>
                <w:sz w:val="16"/>
                <w:szCs w:val="16"/>
                <w:color w:val="42B6E9"/>
              </w:rPr>
              <w:t>100,037,649</w:t>
            </w:r>
          </w:p>
        </w:tc>
        <w:tc>
          <w:tcPr>
            <w:tcW w:w="860" w:type="dxa"/>
            <w:vAlign w:val="bottom"/>
            <w:shd w:val="clear" w:color="auto" w:fill="E9F8FD"/>
          </w:tcPr>
          <w:p>
            <w:pPr>
              <w:jc w:val="center"/>
              <w:spacing w:after="0"/>
              <w:rPr>
                <w:sz w:val="20"/>
                <w:szCs w:val="20"/>
                <w:color w:val="auto"/>
              </w:rPr>
            </w:pPr>
            <w:r>
              <w:rPr>
                <w:rFonts w:ascii="Arial" w:cs="Arial" w:eastAsia="Arial" w:hAnsi="Arial"/>
                <w:sz w:val="16"/>
                <w:szCs w:val="16"/>
                <w:color w:val="42B6E9"/>
              </w:rPr>
              <w:t>62.9</w:t>
            </w:r>
          </w:p>
        </w:tc>
        <w:tc>
          <w:tcPr>
            <w:tcW w:w="1420" w:type="dxa"/>
            <w:vAlign w:val="bottom"/>
            <w:shd w:val="clear" w:color="auto" w:fill="E9F8FD"/>
          </w:tcPr>
          <w:p>
            <w:pPr>
              <w:jc w:val="center"/>
              <w:ind w:left="100"/>
              <w:spacing w:after="0"/>
              <w:rPr>
                <w:sz w:val="20"/>
                <w:szCs w:val="20"/>
                <w:color w:val="auto"/>
              </w:rPr>
            </w:pPr>
            <w:r>
              <w:rPr>
                <w:rFonts w:ascii="Arial" w:cs="Arial" w:eastAsia="Arial" w:hAnsi="Arial"/>
                <w:sz w:val="16"/>
                <w:szCs w:val="16"/>
                <w:color w:val="42B6E9"/>
              </w:rPr>
              <w:t>54.3</w:t>
            </w:r>
          </w:p>
        </w:tc>
        <w:tc>
          <w:tcPr>
            <w:tcW w:w="0" w:type="dxa"/>
            <w:vAlign w:val="bottom"/>
          </w:tcPr>
          <w:p>
            <w:pPr>
              <w:spacing w:after="0"/>
              <w:rPr>
                <w:sz w:val="1"/>
                <w:szCs w:val="1"/>
                <w:color w:val="auto"/>
              </w:rPr>
            </w:pPr>
          </w:p>
        </w:tc>
      </w:tr>
      <w:tr>
        <w:trPr>
          <w:trHeight w:val="297"/>
        </w:trPr>
        <w:tc>
          <w:tcPr>
            <w:tcW w:w="3260" w:type="dxa"/>
            <w:vAlign w:val="bottom"/>
            <w:shd w:val="clear" w:color="auto" w:fill="E9F8FD"/>
          </w:tcPr>
          <w:p>
            <w:pPr>
              <w:ind w:left="60"/>
              <w:spacing w:after="0" w:line="297" w:lineRule="exact"/>
              <w:rPr>
                <w:sz w:val="20"/>
                <w:szCs w:val="20"/>
                <w:color w:val="auto"/>
              </w:rPr>
            </w:pPr>
            <w:r>
              <w:rPr>
                <w:rFonts w:ascii="Arial" w:cs="Arial" w:eastAsia="Arial" w:hAnsi="Arial"/>
                <w:sz w:val="16"/>
                <w:szCs w:val="16"/>
                <w:color w:val="42B6E9"/>
              </w:rPr>
              <w:t>Shares subject to voting proxies</w:t>
            </w:r>
            <w:r>
              <w:rPr>
                <w:rFonts w:ascii="Arial" w:cs="Arial" w:eastAsia="Arial" w:hAnsi="Arial"/>
                <w:sz w:val="26"/>
                <w:szCs w:val="26"/>
                <w:color w:val="42B6E9"/>
                <w:vertAlign w:val="superscript"/>
              </w:rPr>
              <w:t>(3)</w:t>
            </w:r>
          </w:p>
        </w:tc>
        <w:tc>
          <w:tcPr>
            <w:tcW w:w="1560" w:type="dxa"/>
            <w:vAlign w:val="bottom"/>
            <w:shd w:val="clear" w:color="auto" w:fill="E9F8FD"/>
          </w:tcPr>
          <w:p>
            <w:pPr>
              <w:jc w:val="right"/>
              <w:ind w:right="40"/>
              <w:spacing w:after="0"/>
              <w:rPr>
                <w:sz w:val="20"/>
                <w:szCs w:val="20"/>
                <w:color w:val="auto"/>
              </w:rPr>
            </w:pPr>
            <w:r>
              <w:rPr>
                <w:rFonts w:ascii="Arial" w:cs="Arial" w:eastAsia="Arial" w:hAnsi="Arial"/>
                <w:sz w:val="16"/>
                <w:szCs w:val="16"/>
                <w:color w:val="42B6E9"/>
              </w:rPr>
              <w:t>1,999,830</w:t>
            </w:r>
          </w:p>
        </w:tc>
        <w:tc>
          <w:tcPr>
            <w:tcW w:w="1020" w:type="dxa"/>
            <w:vAlign w:val="bottom"/>
            <w:shd w:val="clear" w:color="auto" w:fill="E9F8FD"/>
          </w:tcPr>
          <w:p>
            <w:pPr>
              <w:jc w:val="center"/>
              <w:ind w:left="80"/>
              <w:spacing w:after="0"/>
              <w:rPr>
                <w:sz w:val="20"/>
                <w:szCs w:val="20"/>
                <w:color w:val="auto"/>
              </w:rPr>
            </w:pPr>
            <w:r>
              <w:rPr>
                <w:rFonts w:ascii="Arial" w:cs="Arial" w:eastAsia="Arial" w:hAnsi="Arial"/>
                <w:sz w:val="16"/>
                <w:szCs w:val="16"/>
                <w:color w:val="42B6E9"/>
                <w:w w:val="95"/>
              </w:rPr>
              <w:t>*</w:t>
            </w:r>
          </w:p>
        </w:tc>
        <w:tc>
          <w:tcPr>
            <w:tcW w:w="1440" w:type="dxa"/>
            <w:vAlign w:val="bottom"/>
            <w:shd w:val="clear" w:color="auto" w:fill="E9F8FD"/>
          </w:tcPr>
          <w:p>
            <w:pPr>
              <w:jc w:val="right"/>
              <w:ind w:right="200"/>
              <w:spacing w:after="0"/>
              <w:rPr>
                <w:sz w:val="20"/>
                <w:szCs w:val="20"/>
                <w:color w:val="auto"/>
              </w:rPr>
            </w:pPr>
            <w:r>
              <w:rPr>
                <w:rFonts w:ascii="Arial" w:cs="Arial" w:eastAsia="Arial" w:hAnsi="Arial"/>
                <w:sz w:val="16"/>
                <w:szCs w:val="16"/>
                <w:color w:val="42B6E9"/>
              </w:rPr>
              <w:t>27,441,890</w:t>
            </w:r>
          </w:p>
        </w:tc>
        <w:tc>
          <w:tcPr>
            <w:tcW w:w="860" w:type="dxa"/>
            <w:vAlign w:val="bottom"/>
            <w:shd w:val="clear" w:color="auto" w:fill="E9F8FD"/>
          </w:tcPr>
          <w:p>
            <w:pPr>
              <w:jc w:val="center"/>
              <w:spacing w:after="0"/>
              <w:rPr>
                <w:sz w:val="20"/>
                <w:szCs w:val="20"/>
                <w:color w:val="auto"/>
              </w:rPr>
            </w:pPr>
            <w:r>
              <w:rPr>
                <w:rFonts w:ascii="Arial" w:cs="Arial" w:eastAsia="Arial" w:hAnsi="Arial"/>
                <w:sz w:val="16"/>
                <w:szCs w:val="16"/>
                <w:color w:val="42B6E9"/>
              </w:rPr>
              <w:t>23.8</w:t>
            </w:r>
          </w:p>
        </w:tc>
        <w:tc>
          <w:tcPr>
            <w:tcW w:w="1420" w:type="dxa"/>
            <w:vAlign w:val="bottom"/>
            <w:shd w:val="clear" w:color="auto" w:fill="E9F8FD"/>
          </w:tcPr>
          <w:p>
            <w:pPr>
              <w:jc w:val="center"/>
              <w:ind w:left="100"/>
              <w:spacing w:after="0"/>
              <w:rPr>
                <w:sz w:val="20"/>
                <w:szCs w:val="20"/>
                <w:color w:val="auto"/>
              </w:rPr>
            </w:pPr>
            <w:r>
              <w:rPr>
                <w:rFonts w:ascii="Arial" w:cs="Arial" w:eastAsia="Arial" w:hAnsi="Arial"/>
                <w:sz w:val="16"/>
                <w:szCs w:val="16"/>
                <w:color w:val="42B6E9"/>
              </w:rPr>
              <w:t>19.6</w:t>
            </w:r>
          </w:p>
        </w:tc>
        <w:tc>
          <w:tcPr>
            <w:tcW w:w="0" w:type="dxa"/>
            <w:vAlign w:val="bottom"/>
          </w:tcPr>
          <w:p>
            <w:pPr>
              <w:spacing w:after="0"/>
              <w:rPr>
                <w:sz w:val="1"/>
                <w:szCs w:val="1"/>
                <w:color w:val="auto"/>
              </w:rPr>
            </w:pPr>
          </w:p>
        </w:tc>
      </w:tr>
      <w:tr>
        <w:trPr>
          <w:trHeight w:val="297"/>
        </w:trPr>
        <w:tc>
          <w:tcPr>
            <w:tcW w:w="3260" w:type="dxa"/>
            <w:vAlign w:val="bottom"/>
            <w:shd w:val="clear" w:color="auto" w:fill="E9F8FD"/>
          </w:tcPr>
          <w:p>
            <w:pPr>
              <w:ind w:left="60"/>
              <w:spacing w:after="0" w:line="296" w:lineRule="exact"/>
              <w:rPr>
                <w:sz w:val="20"/>
                <w:szCs w:val="20"/>
                <w:color w:val="auto"/>
              </w:rPr>
            </w:pPr>
            <w:r>
              <w:rPr>
                <w:rFonts w:ascii="Arial" w:cs="Arial" w:eastAsia="Arial" w:hAnsi="Arial"/>
                <w:sz w:val="32"/>
                <w:szCs w:val="32"/>
                <w:color w:val="42B6E9"/>
                <w:vertAlign w:val="subscript"/>
              </w:rPr>
              <w:t>Total</w:t>
            </w:r>
            <w:r>
              <w:rPr>
                <w:rFonts w:ascii="Arial" w:cs="Arial" w:eastAsia="Arial" w:hAnsi="Arial"/>
                <w:sz w:val="13"/>
                <w:szCs w:val="13"/>
                <w:color w:val="42B6E9"/>
              </w:rPr>
              <w:t>(2)(3)</w:t>
            </w:r>
          </w:p>
        </w:tc>
        <w:tc>
          <w:tcPr>
            <w:tcW w:w="1560" w:type="dxa"/>
            <w:vAlign w:val="bottom"/>
            <w:shd w:val="clear" w:color="auto" w:fill="E9F8FD"/>
          </w:tcPr>
          <w:p>
            <w:pPr>
              <w:jc w:val="right"/>
              <w:ind w:right="40"/>
              <w:spacing w:after="0"/>
              <w:rPr>
                <w:sz w:val="20"/>
                <w:szCs w:val="20"/>
                <w:color w:val="auto"/>
              </w:rPr>
            </w:pPr>
            <w:r>
              <w:rPr>
                <w:rFonts w:ascii="Arial" w:cs="Arial" w:eastAsia="Arial" w:hAnsi="Arial"/>
                <w:sz w:val="16"/>
                <w:szCs w:val="16"/>
                <w:color w:val="42B6E9"/>
              </w:rPr>
              <w:t>1,999,830</w:t>
            </w:r>
          </w:p>
        </w:tc>
        <w:tc>
          <w:tcPr>
            <w:tcW w:w="1020" w:type="dxa"/>
            <w:vAlign w:val="bottom"/>
            <w:shd w:val="clear" w:color="auto" w:fill="E9F8FD"/>
          </w:tcPr>
          <w:p>
            <w:pPr>
              <w:jc w:val="center"/>
              <w:ind w:left="80"/>
              <w:spacing w:after="0"/>
              <w:rPr>
                <w:sz w:val="20"/>
                <w:szCs w:val="20"/>
                <w:color w:val="auto"/>
              </w:rPr>
            </w:pPr>
            <w:r>
              <w:rPr>
                <w:rFonts w:ascii="Arial" w:cs="Arial" w:eastAsia="Arial" w:hAnsi="Arial"/>
                <w:sz w:val="16"/>
                <w:szCs w:val="16"/>
                <w:color w:val="42B6E9"/>
                <w:w w:val="95"/>
              </w:rPr>
              <w:t>*</w:t>
            </w:r>
          </w:p>
        </w:tc>
        <w:tc>
          <w:tcPr>
            <w:tcW w:w="1440" w:type="dxa"/>
            <w:vAlign w:val="bottom"/>
            <w:shd w:val="clear" w:color="auto" w:fill="E9F8FD"/>
          </w:tcPr>
          <w:p>
            <w:pPr>
              <w:jc w:val="right"/>
              <w:ind w:right="180"/>
              <w:spacing w:after="0"/>
              <w:rPr>
                <w:sz w:val="20"/>
                <w:szCs w:val="20"/>
                <w:color w:val="auto"/>
              </w:rPr>
            </w:pPr>
            <w:r>
              <w:rPr>
                <w:rFonts w:ascii="Arial" w:cs="Arial" w:eastAsia="Arial" w:hAnsi="Arial"/>
                <w:sz w:val="16"/>
                <w:szCs w:val="16"/>
                <w:color w:val="42B6E9"/>
              </w:rPr>
              <w:t>127,479,539</w:t>
            </w:r>
          </w:p>
        </w:tc>
        <w:tc>
          <w:tcPr>
            <w:tcW w:w="860" w:type="dxa"/>
            <w:vAlign w:val="bottom"/>
            <w:shd w:val="clear" w:color="auto" w:fill="E9F8FD"/>
          </w:tcPr>
          <w:p>
            <w:pPr>
              <w:jc w:val="center"/>
              <w:spacing w:after="0"/>
              <w:rPr>
                <w:sz w:val="20"/>
                <w:szCs w:val="20"/>
                <w:color w:val="auto"/>
              </w:rPr>
            </w:pPr>
            <w:r>
              <w:rPr>
                <w:rFonts w:ascii="Arial" w:cs="Arial" w:eastAsia="Arial" w:hAnsi="Arial"/>
                <w:sz w:val="16"/>
                <w:szCs w:val="16"/>
                <w:color w:val="42B6E9"/>
              </w:rPr>
              <w:t>80.0</w:t>
            </w:r>
          </w:p>
        </w:tc>
        <w:tc>
          <w:tcPr>
            <w:tcW w:w="1420" w:type="dxa"/>
            <w:vAlign w:val="bottom"/>
            <w:shd w:val="clear" w:color="auto" w:fill="E9F8FD"/>
          </w:tcPr>
          <w:p>
            <w:pPr>
              <w:jc w:val="center"/>
              <w:ind w:left="100"/>
              <w:spacing w:after="0"/>
              <w:rPr>
                <w:sz w:val="20"/>
                <w:szCs w:val="20"/>
                <w:color w:val="auto"/>
              </w:rPr>
            </w:pPr>
            <w:r>
              <w:rPr>
                <w:rFonts w:ascii="Arial" w:cs="Arial" w:eastAsia="Arial" w:hAnsi="Arial"/>
                <w:sz w:val="16"/>
                <w:szCs w:val="16"/>
                <w:color w:val="42B6E9"/>
              </w:rPr>
              <w:t>69.1</w:t>
            </w:r>
          </w:p>
        </w:tc>
        <w:tc>
          <w:tcPr>
            <w:tcW w:w="0" w:type="dxa"/>
            <w:vAlign w:val="bottom"/>
          </w:tcPr>
          <w:p>
            <w:pPr>
              <w:spacing w:after="0"/>
              <w:rPr>
                <w:sz w:val="1"/>
                <w:szCs w:val="1"/>
                <w:color w:val="auto"/>
              </w:rPr>
            </w:pPr>
          </w:p>
        </w:tc>
      </w:tr>
      <w:tr>
        <w:trPr>
          <w:trHeight w:val="297"/>
        </w:trPr>
        <w:tc>
          <w:tcPr>
            <w:tcW w:w="3260" w:type="dxa"/>
            <w:vAlign w:val="bottom"/>
            <w:shd w:val="clear" w:color="auto" w:fill="E9F8FD"/>
          </w:tcPr>
          <w:p>
            <w:pPr>
              <w:ind w:left="60"/>
              <w:spacing w:after="0" w:line="297" w:lineRule="exact"/>
              <w:rPr>
                <w:sz w:val="20"/>
                <w:szCs w:val="20"/>
                <w:color w:val="auto"/>
              </w:rPr>
            </w:pPr>
            <w:r>
              <w:rPr>
                <w:rFonts w:ascii="Arial" w:cs="Arial" w:eastAsia="Arial" w:hAnsi="Arial"/>
                <w:sz w:val="16"/>
                <w:szCs w:val="16"/>
                <w:color w:val="42B6E9"/>
              </w:rPr>
              <w:t>Julie Bradley</w:t>
            </w:r>
            <w:r>
              <w:rPr>
                <w:rFonts w:ascii="Arial" w:cs="Arial" w:eastAsia="Arial" w:hAnsi="Arial"/>
                <w:sz w:val="26"/>
                <w:szCs w:val="26"/>
                <w:color w:val="42B6E9"/>
                <w:vertAlign w:val="superscript"/>
              </w:rPr>
              <w:t>(4)</w:t>
            </w:r>
          </w:p>
        </w:tc>
        <w:tc>
          <w:tcPr>
            <w:tcW w:w="1560" w:type="dxa"/>
            <w:vAlign w:val="bottom"/>
            <w:shd w:val="clear" w:color="auto" w:fill="E9F8FD"/>
          </w:tcPr>
          <w:p>
            <w:pPr>
              <w:jc w:val="right"/>
              <w:ind w:right="40"/>
              <w:spacing w:after="0"/>
              <w:rPr>
                <w:sz w:val="20"/>
                <w:szCs w:val="20"/>
                <w:color w:val="auto"/>
              </w:rPr>
            </w:pPr>
            <w:r>
              <w:rPr>
                <w:rFonts w:ascii="Arial" w:cs="Arial" w:eastAsia="Arial" w:hAnsi="Arial"/>
                <w:sz w:val="16"/>
                <w:szCs w:val="16"/>
                <w:color w:val="42B6E9"/>
              </w:rPr>
              <w:t>—</w:t>
            </w:r>
          </w:p>
        </w:tc>
        <w:tc>
          <w:tcPr>
            <w:tcW w:w="1020" w:type="dxa"/>
            <w:vAlign w:val="bottom"/>
            <w:shd w:val="clear" w:color="auto" w:fill="E9F8FD"/>
          </w:tcPr>
          <w:p>
            <w:pPr>
              <w:jc w:val="center"/>
              <w:ind w:left="100"/>
              <w:spacing w:after="0"/>
              <w:rPr>
                <w:sz w:val="20"/>
                <w:szCs w:val="20"/>
                <w:color w:val="auto"/>
              </w:rPr>
            </w:pPr>
            <w:r>
              <w:rPr>
                <w:rFonts w:ascii="Arial" w:cs="Arial" w:eastAsia="Arial" w:hAnsi="Arial"/>
                <w:sz w:val="16"/>
                <w:szCs w:val="16"/>
                <w:color w:val="42B6E9"/>
                <w:w w:val="99"/>
              </w:rPr>
              <w:t>—</w:t>
            </w:r>
          </w:p>
        </w:tc>
        <w:tc>
          <w:tcPr>
            <w:tcW w:w="1440" w:type="dxa"/>
            <w:vAlign w:val="bottom"/>
            <w:shd w:val="clear" w:color="auto" w:fill="E9F8FD"/>
          </w:tcPr>
          <w:p>
            <w:pPr>
              <w:jc w:val="right"/>
              <w:ind w:right="200"/>
              <w:spacing w:after="0"/>
              <w:rPr>
                <w:sz w:val="20"/>
                <w:szCs w:val="20"/>
                <w:color w:val="auto"/>
              </w:rPr>
            </w:pPr>
            <w:r>
              <w:rPr>
                <w:rFonts w:ascii="Arial" w:cs="Arial" w:eastAsia="Arial" w:hAnsi="Arial"/>
                <w:sz w:val="16"/>
                <w:szCs w:val="16"/>
                <w:color w:val="42B6E9"/>
              </w:rPr>
              <w:t>—</w:t>
            </w:r>
          </w:p>
        </w:tc>
        <w:tc>
          <w:tcPr>
            <w:tcW w:w="860" w:type="dxa"/>
            <w:vAlign w:val="bottom"/>
            <w:shd w:val="clear" w:color="auto" w:fill="E9F8FD"/>
          </w:tcPr>
          <w:p>
            <w:pPr>
              <w:jc w:val="center"/>
              <w:spacing w:after="0"/>
              <w:rPr>
                <w:sz w:val="20"/>
                <w:szCs w:val="20"/>
                <w:color w:val="auto"/>
              </w:rPr>
            </w:pPr>
            <w:r>
              <w:rPr>
                <w:rFonts w:ascii="Arial" w:cs="Arial" w:eastAsia="Arial" w:hAnsi="Arial"/>
                <w:sz w:val="16"/>
                <w:szCs w:val="16"/>
                <w:color w:val="42B6E9"/>
                <w:w w:val="99"/>
              </w:rPr>
              <w:t>—</w:t>
            </w:r>
          </w:p>
        </w:tc>
        <w:tc>
          <w:tcPr>
            <w:tcW w:w="1420" w:type="dxa"/>
            <w:vAlign w:val="bottom"/>
            <w:shd w:val="clear" w:color="auto" w:fill="E9F8FD"/>
          </w:tcPr>
          <w:p>
            <w:pPr>
              <w:jc w:val="center"/>
              <w:ind w:left="100"/>
              <w:spacing w:after="0"/>
              <w:rPr>
                <w:sz w:val="20"/>
                <w:szCs w:val="20"/>
                <w:color w:val="auto"/>
              </w:rPr>
            </w:pPr>
            <w:r>
              <w:rPr>
                <w:rFonts w:ascii="Arial" w:cs="Arial" w:eastAsia="Arial" w:hAnsi="Arial"/>
                <w:sz w:val="16"/>
                <w:szCs w:val="16"/>
                <w:color w:val="42B6E9"/>
                <w:w w:val="99"/>
              </w:rPr>
              <w:t>—</w:t>
            </w:r>
          </w:p>
        </w:tc>
        <w:tc>
          <w:tcPr>
            <w:tcW w:w="0" w:type="dxa"/>
            <w:vAlign w:val="bottom"/>
          </w:tcPr>
          <w:p>
            <w:pPr>
              <w:spacing w:after="0"/>
              <w:rPr>
                <w:sz w:val="1"/>
                <w:szCs w:val="1"/>
                <w:color w:val="auto"/>
              </w:rPr>
            </w:pPr>
          </w:p>
        </w:tc>
      </w:tr>
      <w:tr>
        <w:trPr>
          <w:trHeight w:val="297"/>
        </w:trPr>
        <w:tc>
          <w:tcPr>
            <w:tcW w:w="3260" w:type="dxa"/>
            <w:vAlign w:val="bottom"/>
            <w:shd w:val="clear" w:color="auto" w:fill="E9F8FD"/>
          </w:tcPr>
          <w:p>
            <w:pPr>
              <w:ind w:left="60"/>
              <w:spacing w:after="0" w:line="297" w:lineRule="exact"/>
              <w:rPr>
                <w:sz w:val="20"/>
                <w:szCs w:val="20"/>
                <w:color w:val="auto"/>
              </w:rPr>
            </w:pPr>
            <w:r>
              <w:rPr>
                <w:rFonts w:ascii="Arial" w:cs="Arial" w:eastAsia="Arial" w:hAnsi="Arial"/>
                <w:sz w:val="16"/>
                <w:szCs w:val="16"/>
                <w:color w:val="42B6E9"/>
              </w:rPr>
              <w:t>Ari Emanuel</w:t>
            </w:r>
            <w:r>
              <w:rPr>
                <w:rFonts w:ascii="Arial" w:cs="Arial" w:eastAsia="Arial" w:hAnsi="Arial"/>
                <w:sz w:val="26"/>
                <w:szCs w:val="26"/>
                <w:color w:val="42B6E9"/>
                <w:vertAlign w:val="superscript"/>
              </w:rPr>
              <w:t>(5)</w:t>
            </w:r>
          </w:p>
        </w:tc>
        <w:tc>
          <w:tcPr>
            <w:tcW w:w="1560" w:type="dxa"/>
            <w:vAlign w:val="bottom"/>
            <w:shd w:val="clear" w:color="auto" w:fill="E9F8FD"/>
          </w:tcPr>
          <w:p>
            <w:pPr>
              <w:jc w:val="right"/>
              <w:ind w:right="40"/>
              <w:spacing w:after="0"/>
              <w:rPr>
                <w:sz w:val="20"/>
                <w:szCs w:val="20"/>
                <w:color w:val="auto"/>
              </w:rPr>
            </w:pPr>
            <w:r>
              <w:rPr>
                <w:rFonts w:ascii="Arial" w:cs="Arial" w:eastAsia="Arial" w:hAnsi="Arial"/>
                <w:sz w:val="16"/>
                <w:szCs w:val="16"/>
                <w:color w:val="42B6E9"/>
              </w:rPr>
              <w:t>396,660</w:t>
            </w:r>
          </w:p>
        </w:tc>
        <w:tc>
          <w:tcPr>
            <w:tcW w:w="1020" w:type="dxa"/>
            <w:vAlign w:val="bottom"/>
            <w:shd w:val="clear" w:color="auto" w:fill="E9F8FD"/>
          </w:tcPr>
          <w:p>
            <w:pPr>
              <w:jc w:val="center"/>
              <w:ind w:left="80"/>
              <w:spacing w:after="0"/>
              <w:rPr>
                <w:sz w:val="20"/>
                <w:szCs w:val="20"/>
                <w:color w:val="auto"/>
              </w:rPr>
            </w:pPr>
            <w:r>
              <w:rPr>
                <w:rFonts w:ascii="Arial" w:cs="Arial" w:eastAsia="Arial" w:hAnsi="Arial"/>
                <w:sz w:val="16"/>
                <w:szCs w:val="16"/>
                <w:color w:val="42B6E9"/>
                <w:w w:val="95"/>
              </w:rPr>
              <w:t>*</w:t>
            </w:r>
          </w:p>
        </w:tc>
        <w:tc>
          <w:tcPr>
            <w:tcW w:w="1440" w:type="dxa"/>
            <w:vAlign w:val="bottom"/>
            <w:shd w:val="clear" w:color="auto" w:fill="E9F8FD"/>
          </w:tcPr>
          <w:p>
            <w:pPr>
              <w:jc w:val="right"/>
              <w:ind w:right="200"/>
              <w:spacing w:after="0"/>
              <w:rPr>
                <w:sz w:val="20"/>
                <w:szCs w:val="20"/>
                <w:color w:val="auto"/>
              </w:rPr>
            </w:pPr>
            <w:r>
              <w:rPr>
                <w:rFonts w:ascii="Arial" w:cs="Arial" w:eastAsia="Arial" w:hAnsi="Arial"/>
                <w:sz w:val="16"/>
                <w:szCs w:val="16"/>
                <w:color w:val="42B6E9"/>
              </w:rPr>
              <w:t>—</w:t>
            </w:r>
          </w:p>
        </w:tc>
        <w:tc>
          <w:tcPr>
            <w:tcW w:w="860" w:type="dxa"/>
            <w:vAlign w:val="bottom"/>
            <w:shd w:val="clear" w:color="auto" w:fill="E9F8FD"/>
          </w:tcPr>
          <w:p>
            <w:pPr>
              <w:jc w:val="center"/>
              <w:spacing w:after="0"/>
              <w:rPr>
                <w:sz w:val="20"/>
                <w:szCs w:val="20"/>
                <w:color w:val="auto"/>
              </w:rPr>
            </w:pPr>
            <w:r>
              <w:rPr>
                <w:rFonts w:ascii="Arial" w:cs="Arial" w:eastAsia="Arial" w:hAnsi="Arial"/>
                <w:sz w:val="16"/>
                <w:szCs w:val="16"/>
                <w:color w:val="42B6E9"/>
                <w:w w:val="99"/>
              </w:rPr>
              <w:t>—</w:t>
            </w:r>
          </w:p>
        </w:tc>
        <w:tc>
          <w:tcPr>
            <w:tcW w:w="1420" w:type="dxa"/>
            <w:vAlign w:val="bottom"/>
            <w:shd w:val="clear" w:color="auto" w:fill="E9F8FD"/>
          </w:tcPr>
          <w:p>
            <w:pPr>
              <w:jc w:val="center"/>
              <w:ind w:left="120"/>
              <w:spacing w:after="0"/>
              <w:rPr>
                <w:sz w:val="20"/>
                <w:szCs w:val="20"/>
                <w:color w:val="auto"/>
              </w:rPr>
            </w:pPr>
            <w:r>
              <w:rPr>
                <w:rFonts w:ascii="Arial" w:cs="Arial" w:eastAsia="Arial" w:hAnsi="Arial"/>
                <w:sz w:val="16"/>
                <w:szCs w:val="16"/>
                <w:color w:val="42B6E9"/>
                <w:w w:val="95"/>
              </w:rPr>
              <w:t>*</w:t>
            </w:r>
          </w:p>
        </w:tc>
        <w:tc>
          <w:tcPr>
            <w:tcW w:w="0" w:type="dxa"/>
            <w:vAlign w:val="bottom"/>
          </w:tcPr>
          <w:p>
            <w:pPr>
              <w:spacing w:after="0"/>
              <w:rPr>
                <w:sz w:val="1"/>
                <w:szCs w:val="1"/>
                <w:color w:val="auto"/>
              </w:rPr>
            </w:pPr>
          </w:p>
        </w:tc>
      </w:tr>
      <w:tr>
        <w:trPr>
          <w:trHeight w:val="297"/>
        </w:trPr>
        <w:tc>
          <w:tcPr>
            <w:tcW w:w="3260" w:type="dxa"/>
            <w:vAlign w:val="bottom"/>
            <w:shd w:val="clear" w:color="auto" w:fill="E9F8FD"/>
          </w:tcPr>
          <w:p>
            <w:pPr>
              <w:ind w:left="60"/>
              <w:spacing w:after="0" w:line="297" w:lineRule="exact"/>
              <w:rPr>
                <w:sz w:val="20"/>
                <w:szCs w:val="20"/>
                <w:color w:val="auto"/>
              </w:rPr>
            </w:pPr>
            <w:r>
              <w:rPr>
                <w:rFonts w:ascii="Arial" w:cs="Arial" w:eastAsia="Arial" w:hAnsi="Arial"/>
                <w:sz w:val="16"/>
                <w:szCs w:val="16"/>
                <w:color w:val="42B6E9"/>
              </w:rPr>
              <w:t>Joe Lonsdale</w:t>
            </w:r>
            <w:r>
              <w:rPr>
                <w:rFonts w:ascii="Arial" w:cs="Arial" w:eastAsia="Arial" w:hAnsi="Arial"/>
                <w:sz w:val="26"/>
                <w:szCs w:val="26"/>
                <w:color w:val="42B6E9"/>
                <w:vertAlign w:val="superscript"/>
              </w:rPr>
              <w:t>(6)</w:t>
            </w:r>
          </w:p>
        </w:tc>
        <w:tc>
          <w:tcPr>
            <w:tcW w:w="1560" w:type="dxa"/>
            <w:vAlign w:val="bottom"/>
            <w:shd w:val="clear" w:color="auto" w:fill="E9F8FD"/>
          </w:tcPr>
          <w:p>
            <w:pPr>
              <w:jc w:val="right"/>
              <w:ind w:right="40"/>
              <w:spacing w:after="0"/>
              <w:rPr>
                <w:sz w:val="20"/>
                <w:szCs w:val="20"/>
                <w:color w:val="auto"/>
              </w:rPr>
            </w:pPr>
            <w:r>
              <w:rPr>
                <w:rFonts w:ascii="Arial" w:cs="Arial" w:eastAsia="Arial" w:hAnsi="Arial"/>
                <w:sz w:val="16"/>
                <w:szCs w:val="16"/>
                <w:color w:val="42B6E9"/>
              </w:rPr>
              <w:t>69,354,796</w:t>
            </w:r>
          </w:p>
        </w:tc>
        <w:tc>
          <w:tcPr>
            <w:tcW w:w="1020" w:type="dxa"/>
            <w:vAlign w:val="bottom"/>
            <w:shd w:val="clear" w:color="auto" w:fill="E9F8FD"/>
          </w:tcPr>
          <w:p>
            <w:pPr>
              <w:jc w:val="center"/>
              <w:ind w:left="80"/>
              <w:spacing w:after="0"/>
              <w:rPr>
                <w:sz w:val="20"/>
                <w:szCs w:val="20"/>
                <w:color w:val="auto"/>
              </w:rPr>
            </w:pPr>
            <w:r>
              <w:rPr>
                <w:rFonts w:ascii="Arial" w:cs="Arial" w:eastAsia="Arial" w:hAnsi="Arial"/>
                <w:sz w:val="16"/>
                <w:szCs w:val="16"/>
                <w:color w:val="42B6E9"/>
                <w:w w:val="96"/>
              </w:rPr>
              <w:t>13.8</w:t>
            </w:r>
          </w:p>
        </w:tc>
        <w:tc>
          <w:tcPr>
            <w:tcW w:w="1440" w:type="dxa"/>
            <w:vAlign w:val="bottom"/>
            <w:shd w:val="clear" w:color="auto" w:fill="E9F8FD"/>
          </w:tcPr>
          <w:p>
            <w:pPr>
              <w:jc w:val="right"/>
              <w:ind w:right="200"/>
              <w:spacing w:after="0"/>
              <w:rPr>
                <w:sz w:val="20"/>
                <w:szCs w:val="20"/>
                <w:color w:val="auto"/>
              </w:rPr>
            </w:pPr>
            <w:r>
              <w:rPr>
                <w:rFonts w:ascii="Arial" w:cs="Arial" w:eastAsia="Arial" w:hAnsi="Arial"/>
                <w:sz w:val="16"/>
                <w:szCs w:val="16"/>
                <w:color w:val="42B6E9"/>
              </w:rPr>
              <w:t>—</w:t>
            </w:r>
          </w:p>
        </w:tc>
        <w:tc>
          <w:tcPr>
            <w:tcW w:w="860" w:type="dxa"/>
            <w:vAlign w:val="bottom"/>
            <w:shd w:val="clear" w:color="auto" w:fill="E9F8FD"/>
          </w:tcPr>
          <w:p>
            <w:pPr>
              <w:jc w:val="center"/>
              <w:spacing w:after="0"/>
              <w:rPr>
                <w:sz w:val="20"/>
                <w:szCs w:val="20"/>
                <w:color w:val="auto"/>
              </w:rPr>
            </w:pPr>
            <w:r>
              <w:rPr>
                <w:rFonts w:ascii="Arial" w:cs="Arial" w:eastAsia="Arial" w:hAnsi="Arial"/>
                <w:sz w:val="16"/>
                <w:szCs w:val="16"/>
                <w:color w:val="42B6E9"/>
                <w:w w:val="99"/>
              </w:rPr>
              <w:t>—</w:t>
            </w:r>
          </w:p>
        </w:tc>
        <w:tc>
          <w:tcPr>
            <w:tcW w:w="1420" w:type="dxa"/>
            <w:vAlign w:val="bottom"/>
            <w:shd w:val="clear" w:color="auto" w:fill="E9F8FD"/>
          </w:tcPr>
          <w:p>
            <w:pPr>
              <w:jc w:val="right"/>
              <w:ind w:right="380"/>
              <w:spacing w:after="0"/>
              <w:rPr>
                <w:sz w:val="20"/>
                <w:szCs w:val="20"/>
                <w:color w:val="auto"/>
              </w:rPr>
            </w:pPr>
            <w:r>
              <w:rPr>
                <w:rFonts w:ascii="Arial" w:cs="Arial" w:eastAsia="Arial" w:hAnsi="Arial"/>
                <w:sz w:val="16"/>
                <w:szCs w:val="16"/>
                <w:color w:val="42B6E9"/>
              </w:rPr>
              <w:t>2.5</w:t>
            </w:r>
          </w:p>
        </w:tc>
        <w:tc>
          <w:tcPr>
            <w:tcW w:w="0" w:type="dxa"/>
            <w:vAlign w:val="bottom"/>
          </w:tcPr>
          <w:p>
            <w:pPr>
              <w:spacing w:after="0"/>
              <w:rPr>
                <w:sz w:val="1"/>
                <w:szCs w:val="1"/>
                <w:color w:val="auto"/>
              </w:rPr>
            </w:pPr>
          </w:p>
        </w:tc>
      </w:tr>
      <w:tr>
        <w:trPr>
          <w:trHeight w:val="297"/>
        </w:trPr>
        <w:tc>
          <w:tcPr>
            <w:tcW w:w="3260" w:type="dxa"/>
            <w:vAlign w:val="bottom"/>
            <w:shd w:val="clear" w:color="auto" w:fill="E9F8FD"/>
          </w:tcPr>
          <w:p>
            <w:pPr>
              <w:ind w:left="60"/>
              <w:spacing w:after="0" w:line="297" w:lineRule="exact"/>
              <w:rPr>
                <w:sz w:val="20"/>
                <w:szCs w:val="20"/>
                <w:color w:val="auto"/>
              </w:rPr>
            </w:pPr>
            <w:r>
              <w:rPr>
                <w:rFonts w:ascii="Arial" w:cs="Arial" w:eastAsia="Arial" w:hAnsi="Arial"/>
                <w:sz w:val="16"/>
                <w:szCs w:val="16"/>
                <w:color w:val="42B6E9"/>
              </w:rPr>
              <w:t>Tanzeen Syed</w:t>
            </w:r>
            <w:r>
              <w:rPr>
                <w:rFonts w:ascii="Arial" w:cs="Arial" w:eastAsia="Arial" w:hAnsi="Arial"/>
                <w:sz w:val="26"/>
                <w:szCs w:val="26"/>
                <w:color w:val="42B6E9"/>
                <w:vertAlign w:val="superscript"/>
              </w:rPr>
              <w:t>(7)</w:t>
            </w:r>
          </w:p>
        </w:tc>
        <w:tc>
          <w:tcPr>
            <w:tcW w:w="1560" w:type="dxa"/>
            <w:vAlign w:val="bottom"/>
            <w:shd w:val="clear" w:color="auto" w:fill="E9F8FD"/>
          </w:tcPr>
          <w:p>
            <w:pPr>
              <w:jc w:val="right"/>
              <w:ind w:right="40"/>
              <w:spacing w:after="0"/>
              <w:rPr>
                <w:sz w:val="20"/>
                <w:szCs w:val="20"/>
                <w:color w:val="auto"/>
              </w:rPr>
            </w:pPr>
            <w:r>
              <w:rPr>
                <w:rFonts w:ascii="Arial" w:cs="Arial" w:eastAsia="Arial" w:hAnsi="Arial"/>
                <w:sz w:val="16"/>
                <w:szCs w:val="16"/>
                <w:color w:val="42B6E9"/>
              </w:rPr>
              <w:t>16,888,478</w:t>
            </w:r>
          </w:p>
        </w:tc>
        <w:tc>
          <w:tcPr>
            <w:tcW w:w="1020" w:type="dxa"/>
            <w:vAlign w:val="bottom"/>
            <w:shd w:val="clear" w:color="auto" w:fill="E9F8FD"/>
          </w:tcPr>
          <w:p>
            <w:pPr>
              <w:ind w:left="520"/>
              <w:spacing w:after="0"/>
              <w:rPr>
                <w:sz w:val="20"/>
                <w:szCs w:val="20"/>
                <w:color w:val="auto"/>
              </w:rPr>
            </w:pPr>
            <w:r>
              <w:rPr>
                <w:rFonts w:ascii="Arial" w:cs="Arial" w:eastAsia="Arial" w:hAnsi="Arial"/>
                <w:sz w:val="16"/>
                <w:szCs w:val="16"/>
                <w:color w:val="42B6E9"/>
              </w:rPr>
              <w:t>3.3</w:t>
            </w:r>
          </w:p>
        </w:tc>
        <w:tc>
          <w:tcPr>
            <w:tcW w:w="1440" w:type="dxa"/>
            <w:vAlign w:val="bottom"/>
            <w:shd w:val="clear" w:color="auto" w:fill="E9F8FD"/>
          </w:tcPr>
          <w:p>
            <w:pPr>
              <w:jc w:val="right"/>
              <w:ind w:right="200"/>
              <w:spacing w:after="0"/>
              <w:rPr>
                <w:sz w:val="20"/>
                <w:szCs w:val="20"/>
                <w:color w:val="auto"/>
              </w:rPr>
            </w:pPr>
            <w:r>
              <w:rPr>
                <w:rFonts w:ascii="Arial" w:cs="Arial" w:eastAsia="Arial" w:hAnsi="Arial"/>
                <w:sz w:val="16"/>
                <w:szCs w:val="16"/>
                <w:color w:val="42B6E9"/>
              </w:rPr>
              <w:t>1,400,000</w:t>
            </w:r>
          </w:p>
        </w:tc>
        <w:tc>
          <w:tcPr>
            <w:tcW w:w="860" w:type="dxa"/>
            <w:vAlign w:val="bottom"/>
            <w:shd w:val="clear" w:color="auto" w:fill="E9F8FD"/>
          </w:tcPr>
          <w:p>
            <w:pPr>
              <w:jc w:val="center"/>
              <w:spacing w:after="0"/>
              <w:rPr>
                <w:sz w:val="20"/>
                <w:szCs w:val="20"/>
                <w:color w:val="auto"/>
              </w:rPr>
            </w:pPr>
            <w:r>
              <w:rPr>
                <w:rFonts w:ascii="Arial" w:cs="Arial" w:eastAsia="Arial" w:hAnsi="Arial"/>
                <w:sz w:val="16"/>
                <w:szCs w:val="16"/>
                <w:color w:val="42B6E9"/>
              </w:rPr>
              <w:t>1.2</w:t>
            </w:r>
          </w:p>
        </w:tc>
        <w:tc>
          <w:tcPr>
            <w:tcW w:w="1420" w:type="dxa"/>
            <w:vAlign w:val="bottom"/>
            <w:shd w:val="clear" w:color="auto" w:fill="E9F8FD"/>
          </w:tcPr>
          <w:p>
            <w:pPr>
              <w:jc w:val="right"/>
              <w:ind w:right="380"/>
              <w:spacing w:after="0"/>
              <w:rPr>
                <w:sz w:val="20"/>
                <w:szCs w:val="20"/>
                <w:color w:val="auto"/>
              </w:rPr>
            </w:pPr>
            <w:r>
              <w:rPr>
                <w:rFonts w:ascii="Arial" w:cs="Arial" w:eastAsia="Arial" w:hAnsi="Arial"/>
                <w:sz w:val="16"/>
                <w:szCs w:val="16"/>
                <w:color w:val="42B6E9"/>
              </w:rPr>
              <w:t>1.6</w:t>
            </w:r>
          </w:p>
        </w:tc>
        <w:tc>
          <w:tcPr>
            <w:tcW w:w="0" w:type="dxa"/>
            <w:vAlign w:val="bottom"/>
          </w:tcPr>
          <w:p>
            <w:pPr>
              <w:spacing w:after="0"/>
              <w:rPr>
                <w:sz w:val="1"/>
                <w:szCs w:val="1"/>
                <w:color w:val="auto"/>
              </w:rPr>
            </w:pPr>
          </w:p>
        </w:tc>
      </w:tr>
      <w:tr>
        <w:trPr>
          <w:trHeight w:val="297"/>
        </w:trPr>
        <w:tc>
          <w:tcPr>
            <w:tcW w:w="3260" w:type="dxa"/>
            <w:vAlign w:val="bottom"/>
            <w:shd w:val="clear" w:color="auto" w:fill="E9F8FD"/>
          </w:tcPr>
          <w:p>
            <w:pPr>
              <w:ind w:left="60"/>
              <w:spacing w:after="0" w:line="297" w:lineRule="exact"/>
              <w:rPr>
                <w:sz w:val="20"/>
                <w:szCs w:val="20"/>
                <w:color w:val="auto"/>
              </w:rPr>
            </w:pPr>
            <w:r>
              <w:rPr>
                <w:rFonts w:ascii="Arial" w:cs="Arial" w:eastAsia="Arial" w:hAnsi="Arial"/>
                <w:sz w:val="16"/>
                <w:szCs w:val="16"/>
                <w:color w:val="42B6E9"/>
              </w:rPr>
              <w:t>Stephanie Tilenius</w:t>
            </w:r>
            <w:r>
              <w:rPr>
                <w:rFonts w:ascii="Arial" w:cs="Arial" w:eastAsia="Arial" w:hAnsi="Arial"/>
                <w:sz w:val="26"/>
                <w:szCs w:val="26"/>
                <w:color w:val="42B6E9"/>
                <w:vertAlign w:val="superscript"/>
              </w:rPr>
              <w:t>(8)</w:t>
            </w:r>
          </w:p>
        </w:tc>
        <w:tc>
          <w:tcPr>
            <w:tcW w:w="1560" w:type="dxa"/>
            <w:vAlign w:val="bottom"/>
            <w:shd w:val="clear" w:color="auto" w:fill="E9F8FD"/>
          </w:tcPr>
          <w:p>
            <w:pPr>
              <w:jc w:val="right"/>
              <w:ind w:right="40"/>
              <w:spacing w:after="0"/>
              <w:rPr>
                <w:sz w:val="20"/>
                <w:szCs w:val="20"/>
                <w:color w:val="auto"/>
              </w:rPr>
            </w:pPr>
            <w:r>
              <w:rPr>
                <w:rFonts w:ascii="Arial" w:cs="Arial" w:eastAsia="Arial" w:hAnsi="Arial"/>
                <w:sz w:val="16"/>
                <w:szCs w:val="16"/>
                <w:color w:val="42B6E9"/>
              </w:rPr>
              <w:t>—</w:t>
            </w:r>
          </w:p>
        </w:tc>
        <w:tc>
          <w:tcPr>
            <w:tcW w:w="1020" w:type="dxa"/>
            <w:vAlign w:val="bottom"/>
            <w:shd w:val="clear" w:color="auto" w:fill="E9F8FD"/>
          </w:tcPr>
          <w:p>
            <w:pPr>
              <w:jc w:val="center"/>
              <w:ind w:left="100"/>
              <w:spacing w:after="0"/>
              <w:rPr>
                <w:sz w:val="20"/>
                <w:szCs w:val="20"/>
                <w:color w:val="auto"/>
              </w:rPr>
            </w:pPr>
            <w:r>
              <w:rPr>
                <w:rFonts w:ascii="Arial" w:cs="Arial" w:eastAsia="Arial" w:hAnsi="Arial"/>
                <w:sz w:val="16"/>
                <w:szCs w:val="16"/>
                <w:color w:val="42B6E9"/>
                <w:w w:val="99"/>
              </w:rPr>
              <w:t>—</w:t>
            </w:r>
          </w:p>
        </w:tc>
        <w:tc>
          <w:tcPr>
            <w:tcW w:w="1440" w:type="dxa"/>
            <w:vAlign w:val="bottom"/>
            <w:shd w:val="clear" w:color="auto" w:fill="E9F8FD"/>
          </w:tcPr>
          <w:p>
            <w:pPr>
              <w:jc w:val="right"/>
              <w:ind w:right="200"/>
              <w:spacing w:after="0"/>
              <w:rPr>
                <w:sz w:val="20"/>
                <w:szCs w:val="20"/>
                <w:color w:val="auto"/>
              </w:rPr>
            </w:pPr>
            <w:r>
              <w:rPr>
                <w:rFonts w:ascii="Arial" w:cs="Arial" w:eastAsia="Arial" w:hAnsi="Arial"/>
                <w:sz w:val="16"/>
                <w:szCs w:val="16"/>
                <w:color w:val="42B6E9"/>
              </w:rPr>
              <w:t>—</w:t>
            </w:r>
          </w:p>
        </w:tc>
        <w:tc>
          <w:tcPr>
            <w:tcW w:w="860" w:type="dxa"/>
            <w:vAlign w:val="bottom"/>
            <w:shd w:val="clear" w:color="auto" w:fill="E9F8FD"/>
          </w:tcPr>
          <w:p>
            <w:pPr>
              <w:jc w:val="center"/>
              <w:spacing w:after="0"/>
              <w:rPr>
                <w:sz w:val="20"/>
                <w:szCs w:val="20"/>
                <w:color w:val="auto"/>
              </w:rPr>
            </w:pPr>
            <w:r>
              <w:rPr>
                <w:rFonts w:ascii="Arial" w:cs="Arial" w:eastAsia="Arial" w:hAnsi="Arial"/>
                <w:sz w:val="16"/>
                <w:szCs w:val="16"/>
                <w:color w:val="42B6E9"/>
                <w:w w:val="99"/>
              </w:rPr>
              <w:t>—</w:t>
            </w:r>
          </w:p>
        </w:tc>
        <w:tc>
          <w:tcPr>
            <w:tcW w:w="1420" w:type="dxa"/>
            <w:vAlign w:val="bottom"/>
            <w:shd w:val="clear" w:color="auto" w:fill="E9F8FD"/>
          </w:tcPr>
          <w:p>
            <w:pPr>
              <w:jc w:val="center"/>
              <w:ind w:left="100"/>
              <w:spacing w:after="0"/>
              <w:rPr>
                <w:sz w:val="20"/>
                <w:szCs w:val="20"/>
                <w:color w:val="auto"/>
              </w:rPr>
            </w:pPr>
            <w:r>
              <w:rPr>
                <w:rFonts w:ascii="Arial" w:cs="Arial" w:eastAsia="Arial" w:hAnsi="Arial"/>
                <w:sz w:val="16"/>
                <w:szCs w:val="16"/>
                <w:color w:val="42B6E9"/>
                <w:w w:val="99"/>
              </w:rPr>
              <w:t>—</w:t>
            </w:r>
          </w:p>
        </w:tc>
        <w:tc>
          <w:tcPr>
            <w:tcW w:w="0" w:type="dxa"/>
            <w:vAlign w:val="bottom"/>
          </w:tcPr>
          <w:p>
            <w:pPr>
              <w:spacing w:after="0"/>
              <w:rPr>
                <w:sz w:val="1"/>
                <w:szCs w:val="1"/>
                <w:color w:val="auto"/>
              </w:rPr>
            </w:pPr>
          </w:p>
        </w:tc>
      </w:tr>
      <w:tr>
        <w:trPr>
          <w:trHeight w:val="297"/>
        </w:trPr>
        <w:tc>
          <w:tcPr>
            <w:tcW w:w="3260" w:type="dxa"/>
            <w:vAlign w:val="bottom"/>
            <w:shd w:val="clear" w:color="auto" w:fill="E9F8FD"/>
          </w:tcPr>
          <w:p>
            <w:pPr>
              <w:ind w:left="60"/>
              <w:spacing w:after="0" w:line="297" w:lineRule="exact"/>
              <w:rPr>
                <w:sz w:val="20"/>
                <w:szCs w:val="20"/>
                <w:color w:val="auto"/>
              </w:rPr>
            </w:pPr>
            <w:r>
              <w:rPr>
                <w:rFonts w:ascii="Arial" w:cs="Arial" w:eastAsia="Arial" w:hAnsi="Arial"/>
                <w:sz w:val="16"/>
                <w:szCs w:val="16"/>
                <w:color w:val="42B6E9"/>
              </w:rPr>
              <w:t>Hans Tung</w:t>
            </w:r>
            <w:r>
              <w:rPr>
                <w:rFonts w:ascii="Arial" w:cs="Arial" w:eastAsia="Arial" w:hAnsi="Arial"/>
                <w:sz w:val="26"/>
                <w:szCs w:val="26"/>
                <w:color w:val="42B6E9"/>
                <w:vertAlign w:val="superscript"/>
              </w:rPr>
              <w:t>(9)</w:t>
            </w:r>
          </w:p>
        </w:tc>
        <w:tc>
          <w:tcPr>
            <w:tcW w:w="1560" w:type="dxa"/>
            <w:vAlign w:val="bottom"/>
            <w:shd w:val="clear" w:color="auto" w:fill="E9F8FD"/>
          </w:tcPr>
          <w:p>
            <w:pPr>
              <w:jc w:val="right"/>
              <w:ind w:right="40"/>
              <w:spacing w:after="0"/>
              <w:rPr>
                <w:sz w:val="20"/>
                <w:szCs w:val="20"/>
                <w:color w:val="auto"/>
              </w:rPr>
            </w:pPr>
            <w:r>
              <w:rPr>
                <w:rFonts w:ascii="Arial" w:cs="Arial" w:eastAsia="Arial" w:hAnsi="Arial"/>
                <w:sz w:val="16"/>
                <w:szCs w:val="16"/>
                <w:color w:val="42B6E9"/>
              </w:rPr>
              <w:t>33,340,640</w:t>
            </w:r>
          </w:p>
        </w:tc>
        <w:tc>
          <w:tcPr>
            <w:tcW w:w="1020" w:type="dxa"/>
            <w:vAlign w:val="bottom"/>
            <w:shd w:val="clear" w:color="auto" w:fill="E9F8FD"/>
          </w:tcPr>
          <w:p>
            <w:pPr>
              <w:ind w:left="520"/>
              <w:spacing w:after="0"/>
              <w:rPr>
                <w:sz w:val="20"/>
                <w:szCs w:val="20"/>
                <w:color w:val="auto"/>
              </w:rPr>
            </w:pPr>
            <w:r>
              <w:rPr>
                <w:rFonts w:ascii="Arial" w:cs="Arial" w:eastAsia="Arial" w:hAnsi="Arial"/>
                <w:sz w:val="16"/>
                <w:szCs w:val="16"/>
                <w:color w:val="42B6E9"/>
              </w:rPr>
              <w:t>6.6</w:t>
            </w:r>
          </w:p>
        </w:tc>
        <w:tc>
          <w:tcPr>
            <w:tcW w:w="1440" w:type="dxa"/>
            <w:vAlign w:val="bottom"/>
            <w:shd w:val="clear" w:color="auto" w:fill="E9F8FD"/>
          </w:tcPr>
          <w:p>
            <w:pPr>
              <w:jc w:val="right"/>
              <w:ind w:right="200"/>
              <w:spacing w:after="0"/>
              <w:rPr>
                <w:sz w:val="20"/>
                <w:szCs w:val="20"/>
                <w:color w:val="auto"/>
              </w:rPr>
            </w:pPr>
            <w:r>
              <w:rPr>
                <w:rFonts w:ascii="Arial" w:cs="Arial" w:eastAsia="Arial" w:hAnsi="Arial"/>
                <w:sz w:val="16"/>
                <w:szCs w:val="16"/>
                <w:color w:val="42B6E9"/>
              </w:rPr>
              <w:t>—</w:t>
            </w:r>
          </w:p>
        </w:tc>
        <w:tc>
          <w:tcPr>
            <w:tcW w:w="860" w:type="dxa"/>
            <w:vAlign w:val="bottom"/>
            <w:shd w:val="clear" w:color="auto" w:fill="E9F8FD"/>
          </w:tcPr>
          <w:p>
            <w:pPr>
              <w:jc w:val="center"/>
              <w:spacing w:after="0"/>
              <w:rPr>
                <w:sz w:val="20"/>
                <w:szCs w:val="20"/>
                <w:color w:val="auto"/>
              </w:rPr>
            </w:pPr>
            <w:r>
              <w:rPr>
                <w:rFonts w:ascii="Arial" w:cs="Arial" w:eastAsia="Arial" w:hAnsi="Arial"/>
                <w:sz w:val="16"/>
                <w:szCs w:val="16"/>
                <w:color w:val="42B6E9"/>
                <w:w w:val="99"/>
              </w:rPr>
              <w:t>—</w:t>
            </w:r>
          </w:p>
        </w:tc>
        <w:tc>
          <w:tcPr>
            <w:tcW w:w="1420" w:type="dxa"/>
            <w:vAlign w:val="bottom"/>
            <w:shd w:val="clear" w:color="auto" w:fill="E9F8FD"/>
          </w:tcPr>
          <w:p>
            <w:pPr>
              <w:jc w:val="right"/>
              <w:ind w:right="380"/>
              <w:spacing w:after="0"/>
              <w:rPr>
                <w:sz w:val="20"/>
                <w:szCs w:val="20"/>
                <w:color w:val="auto"/>
              </w:rPr>
            </w:pPr>
            <w:r>
              <w:rPr>
                <w:rFonts w:ascii="Arial" w:cs="Arial" w:eastAsia="Arial" w:hAnsi="Arial"/>
                <w:sz w:val="16"/>
                <w:szCs w:val="16"/>
                <w:color w:val="42B6E9"/>
              </w:rPr>
              <w:t>1.2</w:t>
            </w:r>
          </w:p>
        </w:tc>
        <w:tc>
          <w:tcPr>
            <w:tcW w:w="0" w:type="dxa"/>
            <w:vAlign w:val="bottom"/>
          </w:tcPr>
          <w:p>
            <w:pPr>
              <w:spacing w:after="0"/>
              <w:rPr>
                <w:sz w:val="1"/>
                <w:szCs w:val="1"/>
                <w:color w:val="auto"/>
              </w:rPr>
            </w:pPr>
          </w:p>
        </w:tc>
      </w:tr>
      <w:tr>
        <w:trPr>
          <w:trHeight w:val="297"/>
        </w:trPr>
        <w:tc>
          <w:tcPr>
            <w:tcW w:w="3260" w:type="dxa"/>
            <w:vAlign w:val="bottom"/>
            <w:shd w:val="clear" w:color="auto" w:fill="E9F8FD"/>
          </w:tcPr>
          <w:p>
            <w:pPr>
              <w:ind w:left="60"/>
              <w:spacing w:after="0" w:line="297" w:lineRule="exact"/>
              <w:rPr>
                <w:sz w:val="20"/>
                <w:szCs w:val="20"/>
                <w:color w:val="auto"/>
              </w:rPr>
            </w:pPr>
            <w:r>
              <w:rPr>
                <w:rFonts w:ascii="Arial" w:cs="Arial" w:eastAsia="Arial" w:hAnsi="Arial"/>
                <w:sz w:val="16"/>
                <w:szCs w:val="16"/>
                <w:color w:val="42B6E9"/>
              </w:rPr>
              <w:t>Jacqueline Reses</w:t>
            </w:r>
            <w:r>
              <w:rPr>
                <w:rFonts w:ascii="Arial" w:cs="Arial" w:eastAsia="Arial" w:hAnsi="Arial"/>
                <w:sz w:val="26"/>
                <w:szCs w:val="26"/>
                <w:color w:val="42B6E9"/>
                <w:vertAlign w:val="superscript"/>
              </w:rPr>
              <w:t>(10)</w:t>
            </w:r>
          </w:p>
        </w:tc>
        <w:tc>
          <w:tcPr>
            <w:tcW w:w="1560" w:type="dxa"/>
            <w:vAlign w:val="bottom"/>
            <w:shd w:val="clear" w:color="auto" w:fill="E9F8FD"/>
          </w:tcPr>
          <w:p>
            <w:pPr>
              <w:jc w:val="right"/>
              <w:ind w:right="40"/>
              <w:spacing w:after="0"/>
              <w:rPr>
                <w:sz w:val="20"/>
                <w:szCs w:val="20"/>
                <w:color w:val="auto"/>
              </w:rPr>
            </w:pPr>
            <w:r>
              <w:rPr>
                <w:rFonts w:ascii="Arial" w:cs="Arial" w:eastAsia="Arial" w:hAnsi="Arial"/>
                <w:sz w:val="16"/>
                <w:szCs w:val="16"/>
                <w:color w:val="42B6E9"/>
              </w:rPr>
              <w:t>—</w:t>
            </w:r>
          </w:p>
        </w:tc>
        <w:tc>
          <w:tcPr>
            <w:tcW w:w="1020" w:type="dxa"/>
            <w:vAlign w:val="bottom"/>
            <w:shd w:val="clear" w:color="auto" w:fill="E9F8FD"/>
          </w:tcPr>
          <w:p>
            <w:pPr>
              <w:jc w:val="center"/>
              <w:ind w:left="100"/>
              <w:spacing w:after="0"/>
              <w:rPr>
                <w:sz w:val="20"/>
                <w:szCs w:val="20"/>
                <w:color w:val="auto"/>
              </w:rPr>
            </w:pPr>
            <w:r>
              <w:rPr>
                <w:rFonts w:ascii="Arial" w:cs="Arial" w:eastAsia="Arial" w:hAnsi="Arial"/>
                <w:sz w:val="16"/>
                <w:szCs w:val="16"/>
                <w:color w:val="42B6E9"/>
                <w:w w:val="99"/>
              </w:rPr>
              <w:t>—</w:t>
            </w:r>
          </w:p>
        </w:tc>
        <w:tc>
          <w:tcPr>
            <w:tcW w:w="1440" w:type="dxa"/>
            <w:vAlign w:val="bottom"/>
            <w:shd w:val="clear" w:color="auto" w:fill="E9F8FD"/>
          </w:tcPr>
          <w:p>
            <w:pPr>
              <w:jc w:val="right"/>
              <w:ind w:right="200"/>
              <w:spacing w:after="0"/>
              <w:rPr>
                <w:sz w:val="20"/>
                <w:szCs w:val="20"/>
                <w:color w:val="auto"/>
              </w:rPr>
            </w:pPr>
            <w:r>
              <w:rPr>
                <w:rFonts w:ascii="Arial" w:cs="Arial" w:eastAsia="Arial" w:hAnsi="Arial"/>
                <w:sz w:val="16"/>
                <w:szCs w:val="16"/>
                <w:color w:val="42B6E9"/>
              </w:rPr>
              <w:t>—</w:t>
            </w:r>
          </w:p>
        </w:tc>
        <w:tc>
          <w:tcPr>
            <w:tcW w:w="860" w:type="dxa"/>
            <w:vAlign w:val="bottom"/>
            <w:shd w:val="clear" w:color="auto" w:fill="E9F8FD"/>
          </w:tcPr>
          <w:p>
            <w:pPr>
              <w:jc w:val="center"/>
              <w:spacing w:after="0"/>
              <w:rPr>
                <w:sz w:val="20"/>
                <w:szCs w:val="20"/>
                <w:color w:val="auto"/>
              </w:rPr>
            </w:pPr>
            <w:r>
              <w:rPr>
                <w:rFonts w:ascii="Arial" w:cs="Arial" w:eastAsia="Arial" w:hAnsi="Arial"/>
                <w:sz w:val="16"/>
                <w:szCs w:val="16"/>
                <w:color w:val="42B6E9"/>
                <w:w w:val="99"/>
              </w:rPr>
              <w:t>—</w:t>
            </w:r>
          </w:p>
        </w:tc>
        <w:tc>
          <w:tcPr>
            <w:tcW w:w="1420" w:type="dxa"/>
            <w:vAlign w:val="bottom"/>
            <w:shd w:val="clear" w:color="auto" w:fill="E9F8FD"/>
          </w:tcPr>
          <w:p>
            <w:pPr>
              <w:jc w:val="center"/>
              <w:ind w:left="100"/>
              <w:spacing w:after="0"/>
              <w:rPr>
                <w:sz w:val="20"/>
                <w:szCs w:val="20"/>
                <w:color w:val="auto"/>
              </w:rPr>
            </w:pPr>
            <w:r>
              <w:rPr>
                <w:rFonts w:ascii="Arial" w:cs="Arial" w:eastAsia="Arial" w:hAnsi="Arial"/>
                <w:sz w:val="16"/>
                <w:szCs w:val="16"/>
                <w:color w:val="42B6E9"/>
                <w:w w:val="99"/>
              </w:rPr>
              <w:t>—</w:t>
            </w:r>
          </w:p>
        </w:tc>
        <w:tc>
          <w:tcPr>
            <w:tcW w:w="0" w:type="dxa"/>
            <w:vAlign w:val="bottom"/>
          </w:tcPr>
          <w:p>
            <w:pPr>
              <w:spacing w:after="0"/>
              <w:rPr>
                <w:sz w:val="1"/>
                <w:szCs w:val="1"/>
                <w:color w:val="auto"/>
              </w:rPr>
            </w:pPr>
          </w:p>
        </w:tc>
      </w:tr>
      <w:tr>
        <w:trPr>
          <w:trHeight w:val="297"/>
        </w:trPr>
        <w:tc>
          <w:tcPr>
            <w:tcW w:w="3260" w:type="dxa"/>
            <w:vAlign w:val="bottom"/>
            <w:shd w:val="clear" w:color="auto" w:fill="E9F8FD"/>
          </w:tcPr>
          <w:p>
            <w:pPr>
              <w:ind w:left="60"/>
              <w:spacing w:after="0" w:line="297" w:lineRule="exact"/>
              <w:rPr>
                <w:sz w:val="20"/>
                <w:szCs w:val="20"/>
                <w:color w:val="auto"/>
              </w:rPr>
            </w:pPr>
            <w:r>
              <w:rPr>
                <w:rFonts w:ascii="Arial" w:cs="Arial" w:eastAsia="Arial" w:hAnsi="Arial"/>
                <w:sz w:val="16"/>
                <w:szCs w:val="16"/>
                <w:color w:val="42B6E9"/>
              </w:rPr>
              <w:t>Rajat Bahri</w:t>
            </w:r>
            <w:r>
              <w:rPr>
                <w:rFonts w:ascii="Arial" w:cs="Arial" w:eastAsia="Arial" w:hAnsi="Arial"/>
                <w:sz w:val="26"/>
                <w:szCs w:val="26"/>
                <w:color w:val="42B6E9"/>
                <w:vertAlign w:val="superscript"/>
              </w:rPr>
              <w:t>(11)</w:t>
            </w:r>
          </w:p>
        </w:tc>
        <w:tc>
          <w:tcPr>
            <w:tcW w:w="1560" w:type="dxa"/>
            <w:vAlign w:val="bottom"/>
            <w:shd w:val="clear" w:color="auto" w:fill="E9F8FD"/>
          </w:tcPr>
          <w:p>
            <w:pPr>
              <w:jc w:val="right"/>
              <w:ind w:right="40"/>
              <w:spacing w:after="0"/>
              <w:rPr>
                <w:sz w:val="20"/>
                <w:szCs w:val="20"/>
                <w:color w:val="auto"/>
              </w:rPr>
            </w:pPr>
            <w:r>
              <w:rPr>
                <w:rFonts w:ascii="Arial" w:cs="Arial" w:eastAsia="Arial" w:hAnsi="Arial"/>
                <w:sz w:val="16"/>
                <w:szCs w:val="16"/>
                <w:color w:val="42B6E9"/>
              </w:rPr>
              <w:t>836,992</w:t>
            </w:r>
          </w:p>
        </w:tc>
        <w:tc>
          <w:tcPr>
            <w:tcW w:w="1020" w:type="dxa"/>
            <w:vAlign w:val="bottom"/>
            <w:shd w:val="clear" w:color="auto" w:fill="E9F8FD"/>
          </w:tcPr>
          <w:p>
            <w:pPr>
              <w:jc w:val="center"/>
              <w:ind w:left="80"/>
              <w:spacing w:after="0"/>
              <w:rPr>
                <w:sz w:val="20"/>
                <w:szCs w:val="20"/>
                <w:color w:val="auto"/>
              </w:rPr>
            </w:pPr>
            <w:r>
              <w:rPr>
                <w:rFonts w:ascii="Arial" w:cs="Arial" w:eastAsia="Arial" w:hAnsi="Arial"/>
                <w:sz w:val="16"/>
                <w:szCs w:val="16"/>
                <w:color w:val="42B6E9"/>
                <w:w w:val="95"/>
              </w:rPr>
              <w:t>*</w:t>
            </w:r>
          </w:p>
        </w:tc>
        <w:tc>
          <w:tcPr>
            <w:tcW w:w="1440" w:type="dxa"/>
            <w:vAlign w:val="bottom"/>
            <w:shd w:val="clear" w:color="auto" w:fill="E9F8FD"/>
          </w:tcPr>
          <w:p>
            <w:pPr>
              <w:jc w:val="right"/>
              <w:ind w:right="200"/>
              <w:spacing w:after="0"/>
              <w:rPr>
                <w:sz w:val="20"/>
                <w:szCs w:val="20"/>
                <w:color w:val="auto"/>
              </w:rPr>
            </w:pPr>
            <w:r>
              <w:rPr>
                <w:rFonts w:ascii="Arial" w:cs="Arial" w:eastAsia="Arial" w:hAnsi="Arial"/>
                <w:sz w:val="16"/>
                <w:szCs w:val="16"/>
                <w:color w:val="42B6E9"/>
              </w:rPr>
              <w:t>497,149</w:t>
            </w:r>
          </w:p>
        </w:tc>
        <w:tc>
          <w:tcPr>
            <w:tcW w:w="860" w:type="dxa"/>
            <w:vAlign w:val="bottom"/>
            <w:shd w:val="clear" w:color="auto" w:fill="E9F8FD"/>
          </w:tcPr>
          <w:p>
            <w:pPr>
              <w:jc w:val="center"/>
              <w:spacing w:after="0"/>
              <w:rPr>
                <w:sz w:val="20"/>
                <w:szCs w:val="20"/>
                <w:color w:val="auto"/>
              </w:rPr>
            </w:pPr>
            <w:r>
              <w:rPr>
                <w:rFonts w:ascii="Arial" w:cs="Arial" w:eastAsia="Arial" w:hAnsi="Arial"/>
                <w:sz w:val="16"/>
                <w:szCs w:val="16"/>
                <w:color w:val="42B6E9"/>
              </w:rPr>
              <w:t>*</w:t>
            </w:r>
          </w:p>
        </w:tc>
        <w:tc>
          <w:tcPr>
            <w:tcW w:w="1420" w:type="dxa"/>
            <w:vAlign w:val="bottom"/>
            <w:shd w:val="clear" w:color="auto" w:fill="E9F8FD"/>
          </w:tcPr>
          <w:p>
            <w:pPr>
              <w:jc w:val="center"/>
              <w:ind w:left="120"/>
              <w:spacing w:after="0"/>
              <w:rPr>
                <w:sz w:val="20"/>
                <w:szCs w:val="20"/>
                <w:color w:val="auto"/>
              </w:rPr>
            </w:pPr>
            <w:r>
              <w:rPr>
                <w:rFonts w:ascii="Arial" w:cs="Arial" w:eastAsia="Arial" w:hAnsi="Arial"/>
                <w:sz w:val="16"/>
                <w:szCs w:val="16"/>
                <w:color w:val="42B6E9"/>
                <w:w w:val="95"/>
              </w:rPr>
              <w:t>*</w:t>
            </w:r>
          </w:p>
        </w:tc>
        <w:tc>
          <w:tcPr>
            <w:tcW w:w="0" w:type="dxa"/>
            <w:vAlign w:val="bottom"/>
          </w:tcPr>
          <w:p>
            <w:pPr>
              <w:spacing w:after="0"/>
              <w:rPr>
                <w:sz w:val="1"/>
                <w:szCs w:val="1"/>
                <w:color w:val="auto"/>
              </w:rPr>
            </w:pPr>
          </w:p>
        </w:tc>
      </w:tr>
      <w:tr>
        <w:trPr>
          <w:trHeight w:val="297"/>
        </w:trPr>
        <w:tc>
          <w:tcPr>
            <w:tcW w:w="3260" w:type="dxa"/>
            <w:vAlign w:val="bottom"/>
            <w:shd w:val="clear" w:color="auto" w:fill="E9F8FD"/>
          </w:tcPr>
          <w:p>
            <w:pPr>
              <w:ind w:left="60"/>
              <w:spacing w:after="0" w:line="297" w:lineRule="exact"/>
              <w:rPr>
                <w:sz w:val="20"/>
                <w:szCs w:val="20"/>
                <w:color w:val="auto"/>
              </w:rPr>
            </w:pPr>
            <w:r>
              <w:rPr>
                <w:rFonts w:ascii="Arial" w:cs="Arial" w:eastAsia="Arial" w:hAnsi="Arial"/>
                <w:sz w:val="16"/>
                <w:szCs w:val="16"/>
                <w:color w:val="42B6E9"/>
              </w:rPr>
              <w:t>Devang Shah</w:t>
            </w:r>
            <w:r>
              <w:rPr>
                <w:rFonts w:ascii="Arial" w:cs="Arial" w:eastAsia="Arial" w:hAnsi="Arial"/>
                <w:sz w:val="26"/>
                <w:szCs w:val="26"/>
                <w:color w:val="42B6E9"/>
                <w:vertAlign w:val="superscript"/>
              </w:rPr>
              <w:t>(12)</w:t>
            </w:r>
          </w:p>
        </w:tc>
        <w:tc>
          <w:tcPr>
            <w:tcW w:w="1560" w:type="dxa"/>
            <w:vAlign w:val="bottom"/>
            <w:shd w:val="clear" w:color="auto" w:fill="E9F8FD"/>
          </w:tcPr>
          <w:p>
            <w:pPr>
              <w:jc w:val="right"/>
              <w:ind w:right="40"/>
              <w:spacing w:after="0"/>
              <w:rPr>
                <w:sz w:val="20"/>
                <w:szCs w:val="20"/>
                <w:color w:val="auto"/>
              </w:rPr>
            </w:pPr>
            <w:r>
              <w:rPr>
                <w:rFonts w:ascii="Arial" w:cs="Arial" w:eastAsia="Arial" w:hAnsi="Arial"/>
                <w:sz w:val="16"/>
                <w:szCs w:val="16"/>
                <w:color w:val="42B6E9"/>
              </w:rPr>
              <w:t>30,635</w:t>
            </w:r>
          </w:p>
        </w:tc>
        <w:tc>
          <w:tcPr>
            <w:tcW w:w="1020" w:type="dxa"/>
            <w:vAlign w:val="bottom"/>
            <w:shd w:val="clear" w:color="auto" w:fill="E9F8FD"/>
          </w:tcPr>
          <w:p>
            <w:pPr>
              <w:jc w:val="center"/>
              <w:ind w:left="80"/>
              <w:spacing w:after="0"/>
              <w:rPr>
                <w:sz w:val="20"/>
                <w:szCs w:val="20"/>
                <w:color w:val="auto"/>
              </w:rPr>
            </w:pPr>
            <w:r>
              <w:rPr>
                <w:rFonts w:ascii="Arial" w:cs="Arial" w:eastAsia="Arial" w:hAnsi="Arial"/>
                <w:sz w:val="16"/>
                <w:szCs w:val="16"/>
                <w:color w:val="42B6E9"/>
                <w:w w:val="95"/>
              </w:rPr>
              <w:t>*</w:t>
            </w:r>
          </w:p>
        </w:tc>
        <w:tc>
          <w:tcPr>
            <w:tcW w:w="1440" w:type="dxa"/>
            <w:vAlign w:val="bottom"/>
            <w:shd w:val="clear" w:color="auto" w:fill="E9F8FD"/>
          </w:tcPr>
          <w:p>
            <w:pPr>
              <w:jc w:val="right"/>
              <w:ind w:right="200"/>
              <w:spacing w:after="0"/>
              <w:rPr>
                <w:sz w:val="20"/>
                <w:szCs w:val="20"/>
                <w:color w:val="auto"/>
              </w:rPr>
            </w:pPr>
            <w:r>
              <w:rPr>
                <w:rFonts w:ascii="Arial" w:cs="Arial" w:eastAsia="Arial" w:hAnsi="Arial"/>
                <w:sz w:val="16"/>
                <w:szCs w:val="16"/>
                <w:color w:val="42B6E9"/>
              </w:rPr>
              <w:t>116,178</w:t>
            </w:r>
          </w:p>
        </w:tc>
        <w:tc>
          <w:tcPr>
            <w:tcW w:w="860" w:type="dxa"/>
            <w:vAlign w:val="bottom"/>
            <w:shd w:val="clear" w:color="auto" w:fill="E9F8FD"/>
          </w:tcPr>
          <w:p>
            <w:pPr>
              <w:jc w:val="center"/>
              <w:spacing w:after="0"/>
              <w:rPr>
                <w:sz w:val="20"/>
                <w:szCs w:val="20"/>
                <w:color w:val="auto"/>
              </w:rPr>
            </w:pPr>
            <w:r>
              <w:rPr>
                <w:rFonts w:ascii="Arial" w:cs="Arial" w:eastAsia="Arial" w:hAnsi="Arial"/>
                <w:sz w:val="16"/>
                <w:szCs w:val="16"/>
                <w:color w:val="42B6E9"/>
              </w:rPr>
              <w:t>*</w:t>
            </w:r>
          </w:p>
        </w:tc>
        <w:tc>
          <w:tcPr>
            <w:tcW w:w="1420" w:type="dxa"/>
            <w:vAlign w:val="bottom"/>
            <w:shd w:val="clear" w:color="auto" w:fill="E9F8FD"/>
          </w:tcPr>
          <w:p>
            <w:pPr>
              <w:jc w:val="center"/>
              <w:ind w:left="120"/>
              <w:spacing w:after="0"/>
              <w:rPr>
                <w:sz w:val="20"/>
                <w:szCs w:val="20"/>
                <w:color w:val="auto"/>
              </w:rPr>
            </w:pPr>
            <w:r>
              <w:rPr>
                <w:rFonts w:ascii="Arial" w:cs="Arial" w:eastAsia="Arial" w:hAnsi="Arial"/>
                <w:sz w:val="16"/>
                <w:szCs w:val="16"/>
                <w:color w:val="42B6E9"/>
                <w:w w:val="95"/>
              </w:rPr>
              <w:t>*</w:t>
            </w:r>
          </w:p>
        </w:tc>
        <w:tc>
          <w:tcPr>
            <w:tcW w:w="0" w:type="dxa"/>
            <w:vAlign w:val="bottom"/>
          </w:tcPr>
          <w:p>
            <w:pPr>
              <w:spacing w:after="0"/>
              <w:rPr>
                <w:sz w:val="1"/>
                <w:szCs w:val="1"/>
                <w:color w:val="auto"/>
              </w:rPr>
            </w:pPr>
          </w:p>
        </w:tc>
      </w:tr>
      <w:tr>
        <w:trPr>
          <w:trHeight w:val="297"/>
        </w:trPr>
        <w:tc>
          <w:tcPr>
            <w:tcW w:w="3260" w:type="dxa"/>
            <w:vAlign w:val="bottom"/>
            <w:shd w:val="clear" w:color="auto" w:fill="E9F8FD"/>
          </w:tcPr>
          <w:p>
            <w:pPr>
              <w:ind w:left="60"/>
              <w:spacing w:after="0" w:line="297" w:lineRule="exact"/>
              <w:rPr>
                <w:sz w:val="20"/>
                <w:szCs w:val="20"/>
                <w:color w:val="auto"/>
              </w:rPr>
            </w:pPr>
            <w:r>
              <w:rPr>
                <w:rFonts w:ascii="Arial" w:cs="Arial" w:eastAsia="Arial" w:hAnsi="Arial"/>
                <w:sz w:val="16"/>
                <w:szCs w:val="16"/>
                <w:color w:val="42B6E9"/>
              </w:rPr>
              <w:t>Thomas Chuang</w:t>
            </w:r>
            <w:r>
              <w:rPr>
                <w:rFonts w:ascii="Arial" w:cs="Arial" w:eastAsia="Arial" w:hAnsi="Arial"/>
                <w:sz w:val="26"/>
                <w:szCs w:val="26"/>
                <w:color w:val="42B6E9"/>
                <w:vertAlign w:val="superscript"/>
              </w:rPr>
              <w:t>(13)</w:t>
            </w:r>
          </w:p>
        </w:tc>
        <w:tc>
          <w:tcPr>
            <w:tcW w:w="1560" w:type="dxa"/>
            <w:vAlign w:val="bottom"/>
            <w:shd w:val="clear" w:color="auto" w:fill="E9F8FD"/>
          </w:tcPr>
          <w:p>
            <w:pPr>
              <w:jc w:val="right"/>
              <w:ind w:right="40"/>
              <w:spacing w:after="0"/>
              <w:rPr>
                <w:sz w:val="20"/>
                <w:szCs w:val="20"/>
                <w:color w:val="auto"/>
              </w:rPr>
            </w:pPr>
            <w:r>
              <w:rPr>
                <w:rFonts w:ascii="Arial" w:cs="Arial" w:eastAsia="Arial" w:hAnsi="Arial"/>
                <w:sz w:val="16"/>
                <w:szCs w:val="16"/>
                <w:color w:val="42B6E9"/>
              </w:rPr>
              <w:t>49,045</w:t>
            </w:r>
          </w:p>
        </w:tc>
        <w:tc>
          <w:tcPr>
            <w:tcW w:w="1020" w:type="dxa"/>
            <w:vAlign w:val="bottom"/>
            <w:shd w:val="clear" w:color="auto" w:fill="E9F8FD"/>
          </w:tcPr>
          <w:p>
            <w:pPr>
              <w:jc w:val="center"/>
              <w:ind w:left="80"/>
              <w:spacing w:after="0"/>
              <w:rPr>
                <w:sz w:val="20"/>
                <w:szCs w:val="20"/>
                <w:color w:val="auto"/>
              </w:rPr>
            </w:pPr>
            <w:r>
              <w:rPr>
                <w:rFonts w:ascii="Arial" w:cs="Arial" w:eastAsia="Arial" w:hAnsi="Arial"/>
                <w:sz w:val="16"/>
                <w:szCs w:val="16"/>
                <w:color w:val="42B6E9"/>
                <w:w w:val="95"/>
              </w:rPr>
              <w:t>*</w:t>
            </w:r>
          </w:p>
        </w:tc>
        <w:tc>
          <w:tcPr>
            <w:tcW w:w="1440" w:type="dxa"/>
            <w:vAlign w:val="bottom"/>
            <w:shd w:val="clear" w:color="auto" w:fill="E9F8FD"/>
          </w:tcPr>
          <w:p>
            <w:pPr>
              <w:jc w:val="right"/>
              <w:ind w:right="200"/>
              <w:spacing w:after="0"/>
              <w:rPr>
                <w:sz w:val="20"/>
                <w:szCs w:val="20"/>
                <w:color w:val="auto"/>
              </w:rPr>
            </w:pPr>
            <w:r>
              <w:rPr>
                <w:rFonts w:ascii="Arial" w:cs="Arial" w:eastAsia="Arial" w:hAnsi="Arial"/>
                <w:sz w:val="16"/>
                <w:szCs w:val="16"/>
                <w:color w:val="42B6E9"/>
              </w:rPr>
              <w:t>316,078</w:t>
            </w:r>
          </w:p>
        </w:tc>
        <w:tc>
          <w:tcPr>
            <w:tcW w:w="860" w:type="dxa"/>
            <w:vAlign w:val="bottom"/>
            <w:shd w:val="clear" w:color="auto" w:fill="E9F8FD"/>
          </w:tcPr>
          <w:p>
            <w:pPr>
              <w:jc w:val="center"/>
              <w:spacing w:after="0"/>
              <w:rPr>
                <w:sz w:val="20"/>
                <w:szCs w:val="20"/>
                <w:color w:val="auto"/>
              </w:rPr>
            </w:pPr>
            <w:r>
              <w:rPr>
                <w:rFonts w:ascii="Arial" w:cs="Arial" w:eastAsia="Arial" w:hAnsi="Arial"/>
                <w:sz w:val="16"/>
                <w:szCs w:val="16"/>
                <w:color w:val="42B6E9"/>
              </w:rPr>
              <w:t>*</w:t>
            </w:r>
          </w:p>
        </w:tc>
        <w:tc>
          <w:tcPr>
            <w:tcW w:w="1420" w:type="dxa"/>
            <w:vAlign w:val="bottom"/>
            <w:shd w:val="clear" w:color="auto" w:fill="E9F8FD"/>
          </w:tcPr>
          <w:p>
            <w:pPr>
              <w:jc w:val="center"/>
              <w:ind w:left="120"/>
              <w:spacing w:after="0"/>
              <w:rPr>
                <w:sz w:val="20"/>
                <w:szCs w:val="20"/>
                <w:color w:val="auto"/>
              </w:rPr>
            </w:pPr>
            <w:r>
              <w:rPr>
                <w:rFonts w:ascii="Arial" w:cs="Arial" w:eastAsia="Arial" w:hAnsi="Arial"/>
                <w:sz w:val="16"/>
                <w:szCs w:val="16"/>
                <w:color w:val="42B6E9"/>
                <w:w w:val="95"/>
              </w:rPr>
              <w:t>*</w:t>
            </w:r>
          </w:p>
        </w:tc>
        <w:tc>
          <w:tcPr>
            <w:tcW w:w="0" w:type="dxa"/>
            <w:vAlign w:val="bottom"/>
          </w:tcPr>
          <w:p>
            <w:pPr>
              <w:spacing w:after="0"/>
              <w:rPr>
                <w:sz w:val="1"/>
                <w:szCs w:val="1"/>
                <w:color w:val="auto"/>
              </w:rPr>
            </w:pPr>
          </w:p>
        </w:tc>
      </w:tr>
      <w:tr>
        <w:trPr>
          <w:trHeight w:val="297"/>
        </w:trPr>
        <w:tc>
          <w:tcPr>
            <w:tcW w:w="3260" w:type="dxa"/>
            <w:vAlign w:val="bottom"/>
            <w:shd w:val="clear" w:color="auto" w:fill="E9F8FD"/>
          </w:tcPr>
          <w:p>
            <w:pPr>
              <w:ind w:left="60"/>
              <w:spacing w:after="0" w:line="297" w:lineRule="exact"/>
              <w:rPr>
                <w:sz w:val="20"/>
                <w:szCs w:val="20"/>
                <w:color w:val="auto"/>
              </w:rPr>
            </w:pPr>
            <w:r>
              <w:rPr>
                <w:rFonts w:ascii="Arial" w:cs="Arial" w:eastAsia="Arial" w:hAnsi="Arial"/>
                <w:sz w:val="16"/>
                <w:szCs w:val="16"/>
                <w:color w:val="42B6E9"/>
              </w:rPr>
              <w:t>Pai Liu</w:t>
            </w:r>
            <w:r>
              <w:rPr>
                <w:rFonts w:ascii="Arial" w:cs="Arial" w:eastAsia="Arial" w:hAnsi="Arial"/>
                <w:sz w:val="26"/>
                <w:szCs w:val="26"/>
                <w:color w:val="42B6E9"/>
                <w:vertAlign w:val="superscript"/>
              </w:rPr>
              <w:t>(14)</w:t>
            </w:r>
          </w:p>
        </w:tc>
        <w:tc>
          <w:tcPr>
            <w:tcW w:w="1560" w:type="dxa"/>
            <w:vAlign w:val="bottom"/>
            <w:shd w:val="clear" w:color="auto" w:fill="E9F8FD"/>
          </w:tcPr>
          <w:p>
            <w:pPr>
              <w:jc w:val="right"/>
              <w:ind w:right="40"/>
              <w:spacing w:after="0"/>
              <w:rPr>
                <w:sz w:val="20"/>
                <w:szCs w:val="20"/>
                <w:color w:val="auto"/>
              </w:rPr>
            </w:pPr>
            <w:r>
              <w:rPr>
                <w:rFonts w:ascii="Arial" w:cs="Arial" w:eastAsia="Arial" w:hAnsi="Arial"/>
                <w:sz w:val="16"/>
                <w:szCs w:val="16"/>
                <w:color w:val="42B6E9"/>
              </w:rPr>
              <w:t>26,595</w:t>
            </w:r>
          </w:p>
        </w:tc>
        <w:tc>
          <w:tcPr>
            <w:tcW w:w="1020" w:type="dxa"/>
            <w:vAlign w:val="bottom"/>
            <w:shd w:val="clear" w:color="auto" w:fill="E9F8FD"/>
          </w:tcPr>
          <w:p>
            <w:pPr>
              <w:jc w:val="center"/>
              <w:ind w:left="80"/>
              <w:spacing w:after="0"/>
              <w:rPr>
                <w:sz w:val="20"/>
                <w:szCs w:val="20"/>
                <w:color w:val="auto"/>
              </w:rPr>
            </w:pPr>
            <w:r>
              <w:rPr>
                <w:rFonts w:ascii="Arial" w:cs="Arial" w:eastAsia="Arial" w:hAnsi="Arial"/>
                <w:sz w:val="16"/>
                <w:szCs w:val="16"/>
                <w:color w:val="42B6E9"/>
                <w:w w:val="95"/>
              </w:rPr>
              <w:t>*</w:t>
            </w:r>
          </w:p>
        </w:tc>
        <w:tc>
          <w:tcPr>
            <w:tcW w:w="1440" w:type="dxa"/>
            <w:vAlign w:val="bottom"/>
            <w:shd w:val="clear" w:color="auto" w:fill="E9F8FD"/>
          </w:tcPr>
          <w:p>
            <w:pPr>
              <w:jc w:val="right"/>
              <w:ind w:right="180"/>
              <w:spacing w:after="0"/>
              <w:rPr>
                <w:sz w:val="20"/>
                <w:szCs w:val="20"/>
                <w:color w:val="auto"/>
              </w:rPr>
            </w:pPr>
            <w:r>
              <w:rPr>
                <w:rFonts w:ascii="Arial" w:cs="Arial" w:eastAsia="Arial" w:hAnsi="Arial"/>
                <w:sz w:val="16"/>
                <w:szCs w:val="16"/>
                <w:color w:val="42B6E9"/>
              </w:rPr>
              <w:t>27,032</w:t>
            </w:r>
          </w:p>
        </w:tc>
        <w:tc>
          <w:tcPr>
            <w:tcW w:w="860" w:type="dxa"/>
            <w:vAlign w:val="bottom"/>
            <w:shd w:val="clear" w:color="auto" w:fill="E9F8FD"/>
          </w:tcPr>
          <w:p>
            <w:pPr>
              <w:jc w:val="center"/>
              <w:spacing w:after="0"/>
              <w:rPr>
                <w:sz w:val="20"/>
                <w:szCs w:val="20"/>
                <w:color w:val="auto"/>
              </w:rPr>
            </w:pPr>
            <w:r>
              <w:rPr>
                <w:rFonts w:ascii="Arial" w:cs="Arial" w:eastAsia="Arial" w:hAnsi="Arial"/>
                <w:sz w:val="16"/>
                <w:szCs w:val="16"/>
                <w:color w:val="42B6E9"/>
              </w:rPr>
              <w:t>*</w:t>
            </w:r>
          </w:p>
        </w:tc>
        <w:tc>
          <w:tcPr>
            <w:tcW w:w="1420" w:type="dxa"/>
            <w:vAlign w:val="bottom"/>
            <w:shd w:val="clear" w:color="auto" w:fill="E9F8FD"/>
          </w:tcPr>
          <w:p>
            <w:pPr>
              <w:jc w:val="center"/>
              <w:ind w:left="120"/>
              <w:spacing w:after="0"/>
              <w:rPr>
                <w:sz w:val="20"/>
                <w:szCs w:val="20"/>
                <w:color w:val="auto"/>
              </w:rPr>
            </w:pPr>
            <w:r>
              <w:rPr>
                <w:rFonts w:ascii="Arial" w:cs="Arial" w:eastAsia="Arial" w:hAnsi="Arial"/>
                <w:sz w:val="16"/>
                <w:szCs w:val="16"/>
                <w:color w:val="42B6E9"/>
                <w:w w:val="95"/>
              </w:rPr>
              <w:t>*</w:t>
            </w:r>
          </w:p>
        </w:tc>
        <w:tc>
          <w:tcPr>
            <w:tcW w:w="0" w:type="dxa"/>
            <w:vAlign w:val="bottom"/>
          </w:tcPr>
          <w:p>
            <w:pPr>
              <w:spacing w:after="0"/>
              <w:rPr>
                <w:sz w:val="1"/>
                <w:szCs w:val="1"/>
                <w:color w:val="auto"/>
              </w:rPr>
            </w:pPr>
          </w:p>
        </w:tc>
      </w:tr>
      <w:tr>
        <w:trPr>
          <w:trHeight w:val="213"/>
        </w:trPr>
        <w:tc>
          <w:tcPr>
            <w:tcW w:w="3260" w:type="dxa"/>
            <w:vAlign w:val="bottom"/>
            <w:shd w:val="clear" w:color="auto" w:fill="E9F8FD"/>
          </w:tcPr>
          <w:p>
            <w:pPr>
              <w:ind w:left="60"/>
              <w:spacing w:after="0"/>
              <w:rPr>
                <w:sz w:val="20"/>
                <w:szCs w:val="20"/>
                <w:color w:val="auto"/>
              </w:rPr>
            </w:pPr>
            <w:r>
              <w:rPr>
                <w:rFonts w:ascii="Arial" w:cs="Arial" w:eastAsia="Arial" w:hAnsi="Arial"/>
                <w:sz w:val="16"/>
                <w:szCs w:val="16"/>
                <w:b w:val="1"/>
                <w:bCs w:val="1"/>
                <w:color w:val="42B6E9"/>
              </w:rPr>
              <w:t>All executive officers and directors as a</w:t>
            </w:r>
          </w:p>
        </w:tc>
        <w:tc>
          <w:tcPr>
            <w:tcW w:w="1560" w:type="dxa"/>
            <w:vAlign w:val="bottom"/>
            <w:shd w:val="clear" w:color="auto" w:fill="E9F8FD"/>
          </w:tcPr>
          <w:p>
            <w:pPr>
              <w:spacing w:after="0"/>
              <w:rPr>
                <w:sz w:val="18"/>
                <w:szCs w:val="18"/>
                <w:color w:val="auto"/>
              </w:rPr>
            </w:pPr>
          </w:p>
        </w:tc>
        <w:tc>
          <w:tcPr>
            <w:tcW w:w="1020" w:type="dxa"/>
            <w:vAlign w:val="bottom"/>
            <w:shd w:val="clear" w:color="auto" w:fill="E9F8FD"/>
          </w:tcPr>
          <w:p>
            <w:pPr>
              <w:spacing w:after="0"/>
              <w:rPr>
                <w:sz w:val="18"/>
                <w:szCs w:val="18"/>
                <w:color w:val="auto"/>
              </w:rPr>
            </w:pPr>
          </w:p>
        </w:tc>
        <w:tc>
          <w:tcPr>
            <w:tcW w:w="1440" w:type="dxa"/>
            <w:vAlign w:val="bottom"/>
            <w:shd w:val="clear" w:color="auto" w:fill="E9F8FD"/>
          </w:tcPr>
          <w:p>
            <w:pPr>
              <w:spacing w:after="0"/>
              <w:rPr>
                <w:sz w:val="18"/>
                <w:szCs w:val="18"/>
                <w:color w:val="auto"/>
              </w:rPr>
            </w:pPr>
          </w:p>
        </w:tc>
        <w:tc>
          <w:tcPr>
            <w:tcW w:w="860" w:type="dxa"/>
            <w:vAlign w:val="bottom"/>
            <w:shd w:val="clear" w:color="auto" w:fill="E9F8FD"/>
          </w:tcPr>
          <w:p>
            <w:pPr>
              <w:spacing w:after="0"/>
              <w:rPr>
                <w:sz w:val="18"/>
                <w:szCs w:val="18"/>
                <w:color w:val="auto"/>
              </w:rPr>
            </w:pPr>
          </w:p>
        </w:tc>
        <w:tc>
          <w:tcPr>
            <w:tcW w:w="1420" w:type="dxa"/>
            <w:vAlign w:val="bottom"/>
            <w:shd w:val="clear" w:color="auto" w:fill="E9F8FD"/>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3260" w:type="dxa"/>
            <w:vAlign w:val="bottom"/>
            <w:shd w:val="clear" w:color="auto" w:fill="E9F8FD"/>
          </w:tcPr>
          <w:p>
            <w:pPr>
              <w:ind w:left="60"/>
              <w:spacing w:after="0" w:line="273" w:lineRule="exact"/>
              <w:rPr>
                <w:sz w:val="20"/>
                <w:szCs w:val="20"/>
                <w:color w:val="auto"/>
              </w:rPr>
            </w:pPr>
            <w:r>
              <w:rPr>
                <w:rFonts w:ascii="Arial" w:cs="Arial" w:eastAsia="Arial" w:hAnsi="Arial"/>
                <w:sz w:val="16"/>
                <w:szCs w:val="16"/>
                <w:b w:val="1"/>
                <w:bCs w:val="1"/>
                <w:color w:val="42B6E9"/>
              </w:rPr>
              <w:t>group (11 persons)</w:t>
            </w:r>
            <w:r>
              <w:rPr>
                <w:rFonts w:ascii="Arial" w:cs="Arial" w:eastAsia="Arial" w:hAnsi="Arial"/>
                <w:sz w:val="26"/>
                <w:szCs w:val="26"/>
                <w:b w:val="1"/>
                <w:bCs w:val="1"/>
                <w:color w:val="42B6E9"/>
                <w:vertAlign w:val="superscript"/>
              </w:rPr>
              <w:t>(15)</w:t>
            </w:r>
          </w:p>
        </w:tc>
        <w:tc>
          <w:tcPr>
            <w:tcW w:w="1560" w:type="dxa"/>
            <w:vAlign w:val="bottom"/>
            <w:shd w:val="clear" w:color="auto" w:fill="E9F8FD"/>
          </w:tcPr>
          <w:p>
            <w:pPr>
              <w:jc w:val="right"/>
              <w:ind w:right="40"/>
              <w:spacing w:after="0"/>
              <w:rPr>
                <w:sz w:val="20"/>
                <w:szCs w:val="20"/>
                <w:color w:val="auto"/>
              </w:rPr>
            </w:pPr>
            <w:r>
              <w:rPr>
                <w:rFonts w:ascii="Arial" w:cs="Arial" w:eastAsia="Arial" w:hAnsi="Arial"/>
                <w:sz w:val="16"/>
                <w:szCs w:val="16"/>
                <w:color w:val="42B6E9"/>
              </w:rPr>
              <w:t>122,923,671</w:t>
            </w:r>
          </w:p>
        </w:tc>
        <w:tc>
          <w:tcPr>
            <w:tcW w:w="1020" w:type="dxa"/>
            <w:vAlign w:val="bottom"/>
            <w:shd w:val="clear" w:color="auto" w:fill="E9F8FD"/>
          </w:tcPr>
          <w:p>
            <w:pPr>
              <w:jc w:val="center"/>
              <w:ind w:left="80"/>
              <w:spacing w:after="0"/>
              <w:rPr>
                <w:sz w:val="20"/>
                <w:szCs w:val="20"/>
                <w:color w:val="auto"/>
              </w:rPr>
            </w:pPr>
            <w:r>
              <w:rPr>
                <w:rFonts w:ascii="Arial" w:cs="Arial" w:eastAsia="Arial" w:hAnsi="Arial"/>
                <w:sz w:val="16"/>
                <w:szCs w:val="16"/>
                <w:color w:val="42B6E9"/>
                <w:w w:val="96"/>
              </w:rPr>
              <w:t>24.4</w:t>
            </w:r>
          </w:p>
        </w:tc>
        <w:tc>
          <w:tcPr>
            <w:tcW w:w="1440" w:type="dxa"/>
            <w:vAlign w:val="bottom"/>
            <w:shd w:val="clear" w:color="auto" w:fill="E9F8FD"/>
          </w:tcPr>
          <w:p>
            <w:pPr>
              <w:jc w:val="right"/>
              <w:ind w:right="180"/>
              <w:spacing w:after="0"/>
              <w:rPr>
                <w:sz w:val="20"/>
                <w:szCs w:val="20"/>
                <w:color w:val="auto"/>
              </w:rPr>
            </w:pPr>
            <w:r>
              <w:rPr>
                <w:rFonts w:ascii="Arial" w:cs="Arial" w:eastAsia="Arial" w:hAnsi="Arial"/>
                <w:sz w:val="16"/>
                <w:szCs w:val="16"/>
                <w:color w:val="42B6E9"/>
              </w:rPr>
              <w:t>129,835,976</w:t>
            </w:r>
          </w:p>
        </w:tc>
        <w:tc>
          <w:tcPr>
            <w:tcW w:w="860" w:type="dxa"/>
            <w:vAlign w:val="bottom"/>
            <w:shd w:val="clear" w:color="auto" w:fill="E9F8FD"/>
          </w:tcPr>
          <w:p>
            <w:pPr>
              <w:jc w:val="center"/>
              <w:spacing w:after="0"/>
              <w:rPr>
                <w:sz w:val="20"/>
                <w:szCs w:val="20"/>
                <w:color w:val="auto"/>
              </w:rPr>
            </w:pPr>
            <w:r>
              <w:rPr>
                <w:rFonts w:ascii="Arial" w:cs="Arial" w:eastAsia="Arial" w:hAnsi="Arial"/>
                <w:sz w:val="16"/>
                <w:szCs w:val="16"/>
                <w:color w:val="42B6E9"/>
              </w:rPr>
              <w:t>81.1</w:t>
            </w:r>
          </w:p>
        </w:tc>
        <w:tc>
          <w:tcPr>
            <w:tcW w:w="1420" w:type="dxa"/>
            <w:vAlign w:val="bottom"/>
            <w:shd w:val="clear" w:color="auto" w:fill="E9F8FD"/>
          </w:tcPr>
          <w:p>
            <w:pPr>
              <w:jc w:val="center"/>
              <w:ind w:left="100"/>
              <w:spacing w:after="0"/>
              <w:rPr>
                <w:sz w:val="20"/>
                <w:szCs w:val="20"/>
                <w:color w:val="auto"/>
              </w:rPr>
            </w:pPr>
            <w:r>
              <w:rPr>
                <w:rFonts w:ascii="Arial" w:cs="Arial" w:eastAsia="Arial" w:hAnsi="Arial"/>
                <w:sz w:val="16"/>
                <w:szCs w:val="16"/>
                <w:color w:val="42B6E9"/>
              </w:rPr>
              <w:t>73.4</w:t>
            </w:r>
          </w:p>
        </w:tc>
        <w:tc>
          <w:tcPr>
            <w:tcW w:w="0" w:type="dxa"/>
            <w:vAlign w:val="bottom"/>
          </w:tcPr>
          <w:p>
            <w:pPr>
              <w:spacing w:after="0"/>
              <w:rPr>
                <w:sz w:val="1"/>
                <w:szCs w:val="1"/>
                <w:color w:val="auto"/>
              </w:rPr>
            </w:pPr>
          </w:p>
        </w:tc>
      </w:tr>
      <w:tr>
        <w:trPr>
          <w:trHeight w:val="250"/>
        </w:trPr>
        <w:tc>
          <w:tcPr>
            <w:tcW w:w="3260" w:type="dxa"/>
            <w:vAlign w:val="bottom"/>
          </w:tcPr>
          <w:p>
            <w:pPr>
              <w:ind w:left="60"/>
              <w:spacing w:after="0"/>
              <w:rPr>
                <w:sz w:val="20"/>
                <w:szCs w:val="20"/>
                <w:color w:val="auto"/>
              </w:rPr>
            </w:pPr>
            <w:r>
              <w:rPr>
                <w:rFonts w:ascii="Arial" w:cs="Arial" w:eastAsia="Arial" w:hAnsi="Arial"/>
                <w:sz w:val="16"/>
                <w:szCs w:val="16"/>
                <w:b w:val="1"/>
                <w:bCs w:val="1"/>
                <w:color w:val="42B6E9"/>
              </w:rPr>
              <w:t>Other 5% Stockholders:</w:t>
            </w:r>
          </w:p>
        </w:tc>
        <w:tc>
          <w:tcPr>
            <w:tcW w:w="1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3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3260" w:type="dxa"/>
            <w:vAlign w:val="bottom"/>
            <w:shd w:val="clear" w:color="auto" w:fill="E9F8FD"/>
          </w:tcPr>
          <w:p>
            <w:pPr>
              <w:ind w:left="60"/>
              <w:spacing w:after="0" w:line="297" w:lineRule="exact"/>
              <w:rPr>
                <w:sz w:val="20"/>
                <w:szCs w:val="20"/>
                <w:color w:val="auto"/>
              </w:rPr>
            </w:pPr>
            <w:r>
              <w:rPr>
                <w:rFonts w:ascii="Arial" w:cs="Arial" w:eastAsia="Arial" w:hAnsi="Arial"/>
                <w:sz w:val="16"/>
                <w:szCs w:val="16"/>
                <w:color w:val="42B6E9"/>
              </w:rPr>
              <w:t>Entities affiliated with DST Global</w:t>
            </w:r>
            <w:r>
              <w:rPr>
                <w:rFonts w:ascii="Arial" w:cs="Arial" w:eastAsia="Arial" w:hAnsi="Arial"/>
                <w:sz w:val="26"/>
                <w:szCs w:val="26"/>
                <w:color w:val="42B6E9"/>
                <w:vertAlign w:val="superscript"/>
              </w:rPr>
              <w:t>(16)</w:t>
            </w:r>
          </w:p>
        </w:tc>
        <w:tc>
          <w:tcPr>
            <w:tcW w:w="1560" w:type="dxa"/>
            <w:vAlign w:val="bottom"/>
            <w:shd w:val="clear" w:color="auto" w:fill="E9F8FD"/>
          </w:tcPr>
          <w:p>
            <w:pPr>
              <w:jc w:val="right"/>
              <w:ind w:right="40"/>
              <w:spacing w:after="0"/>
              <w:rPr>
                <w:sz w:val="20"/>
                <w:szCs w:val="20"/>
                <w:color w:val="auto"/>
              </w:rPr>
            </w:pPr>
            <w:r>
              <w:rPr>
                <w:rFonts w:ascii="Arial" w:cs="Arial" w:eastAsia="Arial" w:hAnsi="Arial"/>
                <w:sz w:val="16"/>
                <w:szCs w:val="16"/>
                <w:color w:val="42B6E9"/>
              </w:rPr>
              <w:t>103,795,380</w:t>
            </w:r>
          </w:p>
        </w:tc>
        <w:tc>
          <w:tcPr>
            <w:tcW w:w="1020" w:type="dxa"/>
            <w:vAlign w:val="bottom"/>
            <w:shd w:val="clear" w:color="auto" w:fill="E9F8FD"/>
          </w:tcPr>
          <w:p>
            <w:pPr>
              <w:jc w:val="center"/>
              <w:ind w:left="80"/>
              <w:spacing w:after="0"/>
              <w:rPr>
                <w:sz w:val="20"/>
                <w:szCs w:val="20"/>
                <w:color w:val="auto"/>
              </w:rPr>
            </w:pPr>
            <w:r>
              <w:rPr>
                <w:rFonts w:ascii="Arial" w:cs="Arial" w:eastAsia="Arial" w:hAnsi="Arial"/>
                <w:sz w:val="16"/>
                <w:szCs w:val="16"/>
                <w:color w:val="42B6E9"/>
                <w:w w:val="96"/>
              </w:rPr>
              <w:t>20.6</w:t>
            </w:r>
          </w:p>
        </w:tc>
        <w:tc>
          <w:tcPr>
            <w:tcW w:w="1440" w:type="dxa"/>
            <w:vAlign w:val="bottom"/>
            <w:shd w:val="clear" w:color="auto" w:fill="E9F8FD"/>
          </w:tcPr>
          <w:p>
            <w:pPr>
              <w:jc w:val="right"/>
              <w:ind w:right="200"/>
              <w:spacing w:after="0"/>
              <w:rPr>
                <w:sz w:val="20"/>
                <w:szCs w:val="20"/>
                <w:color w:val="auto"/>
              </w:rPr>
            </w:pPr>
            <w:r>
              <w:rPr>
                <w:rFonts w:ascii="Arial" w:cs="Arial" w:eastAsia="Arial" w:hAnsi="Arial"/>
                <w:sz w:val="16"/>
                <w:szCs w:val="16"/>
                <w:color w:val="42B6E9"/>
              </w:rPr>
              <w:t>—</w:t>
            </w:r>
          </w:p>
        </w:tc>
        <w:tc>
          <w:tcPr>
            <w:tcW w:w="860" w:type="dxa"/>
            <w:vAlign w:val="bottom"/>
            <w:shd w:val="clear" w:color="auto" w:fill="E9F8FD"/>
          </w:tcPr>
          <w:p>
            <w:pPr>
              <w:jc w:val="center"/>
              <w:spacing w:after="0"/>
              <w:rPr>
                <w:sz w:val="20"/>
                <w:szCs w:val="20"/>
                <w:color w:val="auto"/>
              </w:rPr>
            </w:pPr>
            <w:r>
              <w:rPr>
                <w:rFonts w:ascii="Arial" w:cs="Arial" w:eastAsia="Arial" w:hAnsi="Arial"/>
                <w:sz w:val="16"/>
                <w:szCs w:val="16"/>
                <w:color w:val="42B6E9"/>
                <w:w w:val="99"/>
              </w:rPr>
              <w:t>—</w:t>
            </w:r>
          </w:p>
        </w:tc>
        <w:tc>
          <w:tcPr>
            <w:tcW w:w="1420" w:type="dxa"/>
            <w:vAlign w:val="bottom"/>
            <w:shd w:val="clear" w:color="auto" w:fill="E9F8FD"/>
          </w:tcPr>
          <w:p>
            <w:pPr>
              <w:jc w:val="right"/>
              <w:ind w:right="380"/>
              <w:spacing w:after="0"/>
              <w:rPr>
                <w:sz w:val="20"/>
                <w:szCs w:val="20"/>
                <w:color w:val="auto"/>
              </w:rPr>
            </w:pPr>
            <w:r>
              <w:rPr>
                <w:rFonts w:ascii="Arial" w:cs="Arial" w:eastAsia="Arial" w:hAnsi="Arial"/>
                <w:sz w:val="16"/>
                <w:szCs w:val="16"/>
                <w:color w:val="42B6E9"/>
              </w:rPr>
              <w:t>3.7</w:t>
            </w:r>
          </w:p>
        </w:tc>
        <w:tc>
          <w:tcPr>
            <w:tcW w:w="0" w:type="dxa"/>
            <w:vAlign w:val="bottom"/>
          </w:tcPr>
          <w:p>
            <w:pPr>
              <w:spacing w:after="0"/>
              <w:rPr>
                <w:sz w:val="1"/>
                <w:szCs w:val="1"/>
                <w:color w:val="auto"/>
              </w:rPr>
            </w:pPr>
          </w:p>
        </w:tc>
      </w:tr>
      <w:tr>
        <w:trPr>
          <w:trHeight w:val="229"/>
        </w:trPr>
        <w:tc>
          <w:tcPr>
            <w:tcW w:w="326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Entities affiliated with The Founders</w:t>
            </w:r>
          </w:p>
        </w:tc>
        <w:tc>
          <w:tcPr>
            <w:tcW w:w="1560" w:type="dxa"/>
            <w:vAlign w:val="bottom"/>
            <w:shd w:val="clear" w:color="auto" w:fill="E9F8FD"/>
          </w:tcPr>
          <w:p>
            <w:pPr>
              <w:spacing w:after="0"/>
              <w:rPr>
                <w:sz w:val="19"/>
                <w:szCs w:val="19"/>
                <w:color w:val="auto"/>
              </w:rPr>
            </w:pPr>
          </w:p>
        </w:tc>
        <w:tc>
          <w:tcPr>
            <w:tcW w:w="1020" w:type="dxa"/>
            <w:vAlign w:val="bottom"/>
            <w:shd w:val="clear" w:color="auto" w:fill="E9F8FD"/>
          </w:tcPr>
          <w:p>
            <w:pPr>
              <w:spacing w:after="0"/>
              <w:rPr>
                <w:sz w:val="19"/>
                <w:szCs w:val="19"/>
                <w:color w:val="auto"/>
              </w:rPr>
            </w:pPr>
          </w:p>
        </w:tc>
        <w:tc>
          <w:tcPr>
            <w:tcW w:w="1440" w:type="dxa"/>
            <w:vAlign w:val="bottom"/>
            <w:shd w:val="clear" w:color="auto" w:fill="E9F8FD"/>
          </w:tcPr>
          <w:p>
            <w:pPr>
              <w:spacing w:after="0"/>
              <w:rPr>
                <w:sz w:val="19"/>
                <w:szCs w:val="19"/>
                <w:color w:val="auto"/>
              </w:rPr>
            </w:pPr>
          </w:p>
        </w:tc>
        <w:tc>
          <w:tcPr>
            <w:tcW w:w="860" w:type="dxa"/>
            <w:vAlign w:val="bottom"/>
            <w:shd w:val="clear" w:color="auto" w:fill="E9F8FD"/>
          </w:tcPr>
          <w:p>
            <w:pPr>
              <w:spacing w:after="0"/>
              <w:rPr>
                <w:sz w:val="19"/>
                <w:szCs w:val="19"/>
                <w:color w:val="auto"/>
              </w:rPr>
            </w:pPr>
          </w:p>
        </w:tc>
        <w:tc>
          <w:tcPr>
            <w:tcW w:w="1420" w:type="dxa"/>
            <w:vAlign w:val="bottom"/>
            <w:shd w:val="clear" w:color="auto" w:fill="E9F8FD"/>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60" w:type="dxa"/>
            <w:vAlign w:val="bottom"/>
            <w:shd w:val="clear" w:color="auto" w:fill="E9F8FD"/>
          </w:tcPr>
          <w:p>
            <w:pPr>
              <w:ind w:left="60"/>
              <w:spacing w:after="0" w:line="257" w:lineRule="exact"/>
              <w:rPr>
                <w:sz w:val="20"/>
                <w:szCs w:val="20"/>
                <w:color w:val="auto"/>
              </w:rPr>
            </w:pPr>
            <w:r>
              <w:rPr>
                <w:rFonts w:ascii="Arial" w:cs="Arial" w:eastAsia="Arial" w:hAnsi="Arial"/>
                <w:sz w:val="16"/>
                <w:szCs w:val="16"/>
                <w:color w:val="42B6E9"/>
              </w:rPr>
              <w:t>Fund</w:t>
            </w:r>
            <w:r>
              <w:rPr>
                <w:rFonts w:ascii="Arial" w:cs="Arial" w:eastAsia="Arial" w:hAnsi="Arial"/>
                <w:sz w:val="26"/>
                <w:szCs w:val="26"/>
                <w:color w:val="42B6E9"/>
                <w:vertAlign w:val="superscript"/>
              </w:rPr>
              <w:t>(17)</w:t>
            </w:r>
          </w:p>
        </w:tc>
        <w:tc>
          <w:tcPr>
            <w:tcW w:w="1560" w:type="dxa"/>
            <w:vAlign w:val="bottom"/>
            <w:shd w:val="clear" w:color="auto" w:fill="E9F8FD"/>
          </w:tcPr>
          <w:p>
            <w:pPr>
              <w:jc w:val="right"/>
              <w:ind w:right="40"/>
              <w:spacing w:after="0"/>
              <w:rPr>
                <w:sz w:val="20"/>
                <w:szCs w:val="20"/>
                <w:color w:val="auto"/>
              </w:rPr>
            </w:pPr>
            <w:r>
              <w:rPr>
                <w:rFonts w:ascii="Arial" w:cs="Arial" w:eastAsia="Arial" w:hAnsi="Arial"/>
                <w:sz w:val="16"/>
                <w:szCs w:val="16"/>
                <w:color w:val="42B6E9"/>
              </w:rPr>
              <w:t>61,774,580</w:t>
            </w:r>
          </w:p>
        </w:tc>
        <w:tc>
          <w:tcPr>
            <w:tcW w:w="1020" w:type="dxa"/>
            <w:vAlign w:val="bottom"/>
            <w:shd w:val="clear" w:color="auto" w:fill="E9F8FD"/>
          </w:tcPr>
          <w:p>
            <w:pPr>
              <w:jc w:val="center"/>
              <w:ind w:left="80"/>
              <w:spacing w:after="0"/>
              <w:rPr>
                <w:sz w:val="20"/>
                <w:szCs w:val="20"/>
                <w:color w:val="auto"/>
              </w:rPr>
            </w:pPr>
            <w:r>
              <w:rPr>
                <w:rFonts w:ascii="Arial" w:cs="Arial" w:eastAsia="Arial" w:hAnsi="Arial"/>
                <w:sz w:val="16"/>
                <w:szCs w:val="16"/>
                <w:color w:val="42B6E9"/>
                <w:w w:val="96"/>
              </w:rPr>
              <w:t>12.3</w:t>
            </w:r>
          </w:p>
        </w:tc>
        <w:tc>
          <w:tcPr>
            <w:tcW w:w="1440" w:type="dxa"/>
            <w:vAlign w:val="bottom"/>
            <w:shd w:val="clear" w:color="auto" w:fill="E9F8FD"/>
          </w:tcPr>
          <w:p>
            <w:pPr>
              <w:jc w:val="right"/>
              <w:ind w:right="200"/>
              <w:spacing w:after="0"/>
              <w:rPr>
                <w:sz w:val="20"/>
                <w:szCs w:val="20"/>
                <w:color w:val="auto"/>
              </w:rPr>
            </w:pPr>
            <w:r>
              <w:rPr>
                <w:rFonts w:ascii="Arial" w:cs="Arial" w:eastAsia="Arial" w:hAnsi="Arial"/>
                <w:sz w:val="16"/>
                <w:szCs w:val="16"/>
                <w:color w:val="42B6E9"/>
              </w:rPr>
              <w:t>702,540</w:t>
            </w:r>
          </w:p>
        </w:tc>
        <w:tc>
          <w:tcPr>
            <w:tcW w:w="860" w:type="dxa"/>
            <w:vAlign w:val="bottom"/>
            <w:shd w:val="clear" w:color="auto" w:fill="E9F8FD"/>
          </w:tcPr>
          <w:p>
            <w:pPr>
              <w:jc w:val="center"/>
              <w:spacing w:after="0"/>
              <w:rPr>
                <w:sz w:val="20"/>
                <w:szCs w:val="20"/>
                <w:color w:val="auto"/>
              </w:rPr>
            </w:pPr>
            <w:r>
              <w:rPr>
                <w:rFonts w:ascii="Arial" w:cs="Arial" w:eastAsia="Arial" w:hAnsi="Arial"/>
                <w:sz w:val="16"/>
                <w:szCs w:val="16"/>
                <w:color w:val="42B6E9"/>
              </w:rPr>
              <w:t>*</w:t>
            </w:r>
          </w:p>
        </w:tc>
        <w:tc>
          <w:tcPr>
            <w:tcW w:w="1420" w:type="dxa"/>
            <w:vAlign w:val="bottom"/>
            <w:shd w:val="clear" w:color="auto" w:fill="E9F8FD"/>
          </w:tcPr>
          <w:p>
            <w:pPr>
              <w:jc w:val="right"/>
              <w:ind w:right="380"/>
              <w:spacing w:after="0"/>
              <w:rPr>
                <w:sz w:val="20"/>
                <w:szCs w:val="20"/>
                <w:color w:val="auto"/>
              </w:rPr>
            </w:pPr>
            <w:r>
              <w:rPr>
                <w:rFonts w:ascii="Arial" w:cs="Arial" w:eastAsia="Arial" w:hAnsi="Arial"/>
                <w:sz w:val="16"/>
                <w:szCs w:val="16"/>
                <w:color w:val="42B6E9"/>
              </w:rPr>
              <w:t>2.7</w:t>
            </w:r>
          </w:p>
        </w:tc>
        <w:tc>
          <w:tcPr>
            <w:tcW w:w="0" w:type="dxa"/>
            <w:vAlign w:val="bottom"/>
          </w:tcPr>
          <w:p>
            <w:pPr>
              <w:spacing w:after="0"/>
              <w:rPr>
                <w:sz w:val="1"/>
                <w:szCs w:val="1"/>
                <w:color w:val="auto"/>
              </w:rPr>
            </w:pPr>
          </w:p>
        </w:tc>
      </w:tr>
      <w:tr>
        <w:trPr>
          <w:trHeight w:val="229"/>
        </w:trPr>
        <w:tc>
          <w:tcPr>
            <w:tcW w:w="326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Entities affiliated with Formation8</w:t>
            </w:r>
          </w:p>
        </w:tc>
        <w:tc>
          <w:tcPr>
            <w:tcW w:w="1560" w:type="dxa"/>
            <w:vAlign w:val="bottom"/>
            <w:shd w:val="clear" w:color="auto" w:fill="E9F8FD"/>
          </w:tcPr>
          <w:p>
            <w:pPr>
              <w:spacing w:after="0"/>
              <w:rPr>
                <w:sz w:val="19"/>
                <w:szCs w:val="19"/>
                <w:color w:val="auto"/>
              </w:rPr>
            </w:pPr>
          </w:p>
        </w:tc>
        <w:tc>
          <w:tcPr>
            <w:tcW w:w="1020" w:type="dxa"/>
            <w:vAlign w:val="bottom"/>
            <w:shd w:val="clear" w:color="auto" w:fill="E9F8FD"/>
          </w:tcPr>
          <w:p>
            <w:pPr>
              <w:spacing w:after="0"/>
              <w:rPr>
                <w:sz w:val="19"/>
                <w:szCs w:val="19"/>
                <w:color w:val="auto"/>
              </w:rPr>
            </w:pPr>
          </w:p>
        </w:tc>
        <w:tc>
          <w:tcPr>
            <w:tcW w:w="1440" w:type="dxa"/>
            <w:vAlign w:val="bottom"/>
            <w:shd w:val="clear" w:color="auto" w:fill="E9F8FD"/>
          </w:tcPr>
          <w:p>
            <w:pPr>
              <w:spacing w:after="0"/>
              <w:rPr>
                <w:sz w:val="19"/>
                <w:szCs w:val="19"/>
                <w:color w:val="auto"/>
              </w:rPr>
            </w:pPr>
          </w:p>
        </w:tc>
        <w:tc>
          <w:tcPr>
            <w:tcW w:w="860" w:type="dxa"/>
            <w:vAlign w:val="bottom"/>
            <w:shd w:val="clear" w:color="auto" w:fill="E9F8FD"/>
          </w:tcPr>
          <w:p>
            <w:pPr>
              <w:spacing w:after="0"/>
              <w:rPr>
                <w:sz w:val="19"/>
                <w:szCs w:val="19"/>
                <w:color w:val="auto"/>
              </w:rPr>
            </w:pPr>
          </w:p>
        </w:tc>
        <w:tc>
          <w:tcPr>
            <w:tcW w:w="1420" w:type="dxa"/>
            <w:vAlign w:val="bottom"/>
            <w:shd w:val="clear" w:color="auto" w:fill="E9F8FD"/>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60" w:type="dxa"/>
            <w:vAlign w:val="bottom"/>
            <w:shd w:val="clear" w:color="auto" w:fill="E9F8FD"/>
          </w:tcPr>
          <w:p>
            <w:pPr>
              <w:ind w:left="60"/>
              <w:spacing w:after="0" w:line="257" w:lineRule="exact"/>
              <w:rPr>
                <w:sz w:val="20"/>
                <w:szCs w:val="20"/>
                <w:color w:val="auto"/>
              </w:rPr>
            </w:pPr>
            <w:r>
              <w:rPr>
                <w:rFonts w:ascii="Arial" w:cs="Arial" w:eastAsia="Arial" w:hAnsi="Arial"/>
                <w:sz w:val="16"/>
                <w:szCs w:val="16"/>
                <w:color w:val="42B6E9"/>
              </w:rPr>
              <w:t>Partners</w:t>
            </w:r>
            <w:r>
              <w:rPr>
                <w:rFonts w:ascii="Arial" w:cs="Arial" w:eastAsia="Arial" w:hAnsi="Arial"/>
                <w:sz w:val="26"/>
                <w:szCs w:val="26"/>
                <w:color w:val="42B6E9"/>
                <w:vertAlign w:val="superscript"/>
              </w:rPr>
              <w:t>(18)</w:t>
            </w:r>
          </w:p>
        </w:tc>
        <w:tc>
          <w:tcPr>
            <w:tcW w:w="1560" w:type="dxa"/>
            <w:vAlign w:val="bottom"/>
            <w:shd w:val="clear" w:color="auto" w:fill="E9F8FD"/>
          </w:tcPr>
          <w:p>
            <w:pPr>
              <w:jc w:val="right"/>
              <w:ind w:right="40"/>
              <w:spacing w:after="0"/>
              <w:rPr>
                <w:sz w:val="20"/>
                <w:szCs w:val="20"/>
                <w:color w:val="auto"/>
              </w:rPr>
            </w:pPr>
            <w:r>
              <w:rPr>
                <w:rFonts w:ascii="Arial" w:cs="Arial" w:eastAsia="Arial" w:hAnsi="Arial"/>
                <w:sz w:val="16"/>
                <w:szCs w:val="16"/>
                <w:color w:val="42B6E9"/>
              </w:rPr>
              <w:t>63,386,126</w:t>
            </w:r>
          </w:p>
        </w:tc>
        <w:tc>
          <w:tcPr>
            <w:tcW w:w="1020" w:type="dxa"/>
            <w:vAlign w:val="bottom"/>
            <w:shd w:val="clear" w:color="auto" w:fill="E9F8FD"/>
          </w:tcPr>
          <w:p>
            <w:pPr>
              <w:jc w:val="center"/>
              <w:ind w:left="80"/>
              <w:spacing w:after="0"/>
              <w:rPr>
                <w:sz w:val="20"/>
                <w:szCs w:val="20"/>
                <w:color w:val="auto"/>
              </w:rPr>
            </w:pPr>
            <w:r>
              <w:rPr>
                <w:rFonts w:ascii="Arial" w:cs="Arial" w:eastAsia="Arial" w:hAnsi="Arial"/>
                <w:sz w:val="16"/>
                <w:szCs w:val="16"/>
                <w:color w:val="42B6E9"/>
                <w:w w:val="96"/>
              </w:rPr>
              <w:t>12.6</w:t>
            </w:r>
          </w:p>
        </w:tc>
        <w:tc>
          <w:tcPr>
            <w:tcW w:w="1440" w:type="dxa"/>
            <w:vAlign w:val="bottom"/>
            <w:shd w:val="clear" w:color="auto" w:fill="E9F8FD"/>
          </w:tcPr>
          <w:p>
            <w:pPr>
              <w:jc w:val="right"/>
              <w:ind w:right="200"/>
              <w:spacing w:after="0"/>
              <w:rPr>
                <w:sz w:val="20"/>
                <w:szCs w:val="20"/>
                <w:color w:val="auto"/>
              </w:rPr>
            </w:pPr>
            <w:r>
              <w:rPr>
                <w:rFonts w:ascii="Arial" w:cs="Arial" w:eastAsia="Arial" w:hAnsi="Arial"/>
                <w:sz w:val="16"/>
                <w:szCs w:val="16"/>
                <w:color w:val="42B6E9"/>
              </w:rPr>
              <w:t>—</w:t>
            </w:r>
          </w:p>
        </w:tc>
        <w:tc>
          <w:tcPr>
            <w:tcW w:w="860" w:type="dxa"/>
            <w:vAlign w:val="bottom"/>
            <w:shd w:val="clear" w:color="auto" w:fill="E9F8FD"/>
          </w:tcPr>
          <w:p>
            <w:pPr>
              <w:jc w:val="center"/>
              <w:spacing w:after="0"/>
              <w:rPr>
                <w:sz w:val="20"/>
                <w:szCs w:val="20"/>
                <w:color w:val="auto"/>
              </w:rPr>
            </w:pPr>
            <w:r>
              <w:rPr>
                <w:rFonts w:ascii="Arial" w:cs="Arial" w:eastAsia="Arial" w:hAnsi="Arial"/>
                <w:sz w:val="16"/>
                <w:szCs w:val="16"/>
                <w:color w:val="42B6E9"/>
                <w:w w:val="99"/>
              </w:rPr>
              <w:t>—</w:t>
            </w:r>
          </w:p>
        </w:tc>
        <w:tc>
          <w:tcPr>
            <w:tcW w:w="1420" w:type="dxa"/>
            <w:vAlign w:val="bottom"/>
            <w:shd w:val="clear" w:color="auto" w:fill="E9F8FD"/>
          </w:tcPr>
          <w:p>
            <w:pPr>
              <w:jc w:val="right"/>
              <w:ind w:right="380"/>
              <w:spacing w:after="0"/>
              <w:rPr>
                <w:sz w:val="20"/>
                <w:szCs w:val="20"/>
                <w:color w:val="auto"/>
              </w:rPr>
            </w:pPr>
            <w:r>
              <w:rPr>
                <w:rFonts w:ascii="Arial" w:cs="Arial" w:eastAsia="Arial" w:hAnsi="Arial"/>
                <w:sz w:val="16"/>
                <w:szCs w:val="16"/>
                <w:color w:val="42B6E9"/>
              </w:rPr>
              <w:t>2.2</w:t>
            </w:r>
          </w:p>
        </w:tc>
        <w:tc>
          <w:tcPr>
            <w:tcW w:w="0" w:type="dxa"/>
            <w:vAlign w:val="bottom"/>
          </w:tcPr>
          <w:p>
            <w:pPr>
              <w:spacing w:after="0"/>
              <w:rPr>
                <w:sz w:val="1"/>
                <w:szCs w:val="1"/>
                <w:color w:val="auto"/>
              </w:rPr>
            </w:pPr>
          </w:p>
        </w:tc>
      </w:tr>
      <w:tr>
        <w:trPr>
          <w:trHeight w:val="297"/>
        </w:trPr>
        <w:tc>
          <w:tcPr>
            <w:tcW w:w="3260" w:type="dxa"/>
            <w:vAlign w:val="bottom"/>
            <w:shd w:val="clear" w:color="auto" w:fill="E9F8FD"/>
          </w:tcPr>
          <w:p>
            <w:pPr>
              <w:ind w:left="60"/>
              <w:spacing w:after="0" w:line="297" w:lineRule="exact"/>
              <w:rPr>
                <w:sz w:val="20"/>
                <w:szCs w:val="20"/>
                <w:color w:val="auto"/>
              </w:rPr>
            </w:pPr>
            <w:r>
              <w:rPr>
                <w:rFonts w:ascii="Arial" w:cs="Arial" w:eastAsia="Arial" w:hAnsi="Arial"/>
                <w:sz w:val="16"/>
                <w:szCs w:val="16"/>
                <w:color w:val="42B6E9"/>
              </w:rPr>
              <w:t>Entities affiliated with GGV Capital</w:t>
            </w:r>
            <w:r>
              <w:rPr>
                <w:rFonts w:ascii="Arial" w:cs="Arial" w:eastAsia="Arial" w:hAnsi="Arial"/>
                <w:sz w:val="26"/>
                <w:szCs w:val="26"/>
                <w:color w:val="42B6E9"/>
                <w:vertAlign w:val="superscript"/>
              </w:rPr>
              <w:t>(19)</w:t>
            </w:r>
          </w:p>
        </w:tc>
        <w:tc>
          <w:tcPr>
            <w:tcW w:w="1560" w:type="dxa"/>
            <w:vAlign w:val="bottom"/>
            <w:shd w:val="clear" w:color="auto" w:fill="E9F8FD"/>
          </w:tcPr>
          <w:p>
            <w:pPr>
              <w:jc w:val="right"/>
              <w:ind w:right="40"/>
              <w:spacing w:after="0"/>
              <w:rPr>
                <w:sz w:val="20"/>
                <w:szCs w:val="20"/>
                <w:color w:val="auto"/>
              </w:rPr>
            </w:pPr>
            <w:r>
              <w:rPr>
                <w:rFonts w:ascii="Arial" w:cs="Arial" w:eastAsia="Arial" w:hAnsi="Arial"/>
                <w:sz w:val="16"/>
                <w:szCs w:val="16"/>
                <w:color w:val="42B6E9"/>
              </w:rPr>
              <w:t>33,340,640</w:t>
            </w:r>
          </w:p>
        </w:tc>
        <w:tc>
          <w:tcPr>
            <w:tcW w:w="1020" w:type="dxa"/>
            <w:vAlign w:val="bottom"/>
            <w:shd w:val="clear" w:color="auto" w:fill="E9F8FD"/>
          </w:tcPr>
          <w:p>
            <w:pPr>
              <w:ind w:left="520"/>
              <w:spacing w:after="0"/>
              <w:rPr>
                <w:sz w:val="20"/>
                <w:szCs w:val="20"/>
                <w:color w:val="auto"/>
              </w:rPr>
            </w:pPr>
            <w:r>
              <w:rPr>
                <w:rFonts w:ascii="Arial" w:cs="Arial" w:eastAsia="Arial" w:hAnsi="Arial"/>
                <w:sz w:val="16"/>
                <w:szCs w:val="16"/>
                <w:color w:val="42B6E9"/>
              </w:rPr>
              <w:t>6.6</w:t>
            </w:r>
          </w:p>
        </w:tc>
        <w:tc>
          <w:tcPr>
            <w:tcW w:w="1440" w:type="dxa"/>
            <w:vAlign w:val="bottom"/>
            <w:shd w:val="clear" w:color="auto" w:fill="E9F8FD"/>
          </w:tcPr>
          <w:p>
            <w:pPr>
              <w:jc w:val="right"/>
              <w:ind w:right="200"/>
              <w:spacing w:after="0"/>
              <w:rPr>
                <w:sz w:val="20"/>
                <w:szCs w:val="20"/>
                <w:color w:val="auto"/>
              </w:rPr>
            </w:pPr>
            <w:r>
              <w:rPr>
                <w:rFonts w:ascii="Arial" w:cs="Arial" w:eastAsia="Arial" w:hAnsi="Arial"/>
                <w:sz w:val="16"/>
                <w:szCs w:val="16"/>
                <w:color w:val="42B6E9"/>
              </w:rPr>
              <w:t>—</w:t>
            </w:r>
          </w:p>
        </w:tc>
        <w:tc>
          <w:tcPr>
            <w:tcW w:w="860" w:type="dxa"/>
            <w:vAlign w:val="bottom"/>
            <w:shd w:val="clear" w:color="auto" w:fill="E9F8FD"/>
          </w:tcPr>
          <w:p>
            <w:pPr>
              <w:jc w:val="center"/>
              <w:spacing w:after="0"/>
              <w:rPr>
                <w:sz w:val="20"/>
                <w:szCs w:val="20"/>
                <w:color w:val="auto"/>
              </w:rPr>
            </w:pPr>
            <w:r>
              <w:rPr>
                <w:rFonts w:ascii="Arial" w:cs="Arial" w:eastAsia="Arial" w:hAnsi="Arial"/>
                <w:sz w:val="16"/>
                <w:szCs w:val="16"/>
                <w:color w:val="42B6E9"/>
                <w:w w:val="99"/>
              </w:rPr>
              <w:t>—</w:t>
            </w:r>
          </w:p>
        </w:tc>
        <w:tc>
          <w:tcPr>
            <w:tcW w:w="1420" w:type="dxa"/>
            <w:vAlign w:val="bottom"/>
            <w:shd w:val="clear" w:color="auto" w:fill="E9F8FD"/>
          </w:tcPr>
          <w:p>
            <w:pPr>
              <w:jc w:val="right"/>
              <w:ind w:right="380"/>
              <w:spacing w:after="0"/>
              <w:rPr>
                <w:sz w:val="20"/>
                <w:szCs w:val="20"/>
                <w:color w:val="auto"/>
              </w:rPr>
            </w:pPr>
            <w:r>
              <w:rPr>
                <w:rFonts w:ascii="Arial" w:cs="Arial" w:eastAsia="Arial" w:hAnsi="Arial"/>
                <w:sz w:val="16"/>
                <w:szCs w:val="16"/>
                <w:color w:val="42B6E9"/>
              </w:rPr>
              <w:t>1.2</w:t>
            </w:r>
          </w:p>
        </w:tc>
        <w:tc>
          <w:tcPr>
            <w:tcW w:w="0" w:type="dxa"/>
            <w:vAlign w:val="bottom"/>
          </w:tcPr>
          <w:p>
            <w:pPr>
              <w:spacing w:after="0"/>
              <w:rPr>
                <w:sz w:val="1"/>
                <w:szCs w:val="1"/>
                <w:color w:val="auto"/>
              </w:rPr>
            </w:pPr>
          </w:p>
        </w:tc>
      </w:tr>
      <w:tr>
        <w:trPr>
          <w:trHeight w:val="297"/>
        </w:trPr>
        <w:tc>
          <w:tcPr>
            <w:tcW w:w="3260" w:type="dxa"/>
            <w:vAlign w:val="bottom"/>
            <w:shd w:val="clear" w:color="auto" w:fill="E9F8FD"/>
          </w:tcPr>
          <w:p>
            <w:pPr>
              <w:ind w:left="60"/>
              <w:spacing w:after="0" w:line="297" w:lineRule="exact"/>
              <w:rPr>
                <w:sz w:val="20"/>
                <w:szCs w:val="20"/>
                <w:color w:val="auto"/>
              </w:rPr>
            </w:pPr>
            <w:r>
              <w:rPr>
                <w:rFonts w:ascii="Arial" w:cs="Arial" w:eastAsia="Arial" w:hAnsi="Arial"/>
                <w:sz w:val="16"/>
                <w:szCs w:val="16"/>
                <w:color w:val="42B6E9"/>
              </w:rPr>
              <w:t>Republic Technologies Pte. Ltd.</w:t>
            </w:r>
            <w:r>
              <w:rPr>
                <w:rFonts w:ascii="Arial" w:cs="Arial" w:eastAsia="Arial" w:hAnsi="Arial"/>
                <w:sz w:val="26"/>
                <w:szCs w:val="26"/>
                <w:color w:val="42B6E9"/>
                <w:vertAlign w:val="superscript"/>
              </w:rPr>
              <w:t>(20)</w:t>
            </w:r>
          </w:p>
        </w:tc>
        <w:tc>
          <w:tcPr>
            <w:tcW w:w="1560" w:type="dxa"/>
            <w:vAlign w:val="bottom"/>
            <w:shd w:val="clear" w:color="auto" w:fill="E9F8FD"/>
          </w:tcPr>
          <w:p>
            <w:pPr>
              <w:jc w:val="right"/>
              <w:ind w:right="40"/>
              <w:spacing w:after="0"/>
              <w:rPr>
                <w:sz w:val="20"/>
                <w:szCs w:val="20"/>
                <w:color w:val="auto"/>
              </w:rPr>
            </w:pPr>
            <w:r>
              <w:rPr>
                <w:rFonts w:ascii="Arial" w:cs="Arial" w:eastAsia="Arial" w:hAnsi="Arial"/>
                <w:sz w:val="16"/>
                <w:szCs w:val="16"/>
                <w:color w:val="42B6E9"/>
              </w:rPr>
              <w:t>26,834,880</w:t>
            </w:r>
          </w:p>
        </w:tc>
        <w:tc>
          <w:tcPr>
            <w:tcW w:w="1020" w:type="dxa"/>
            <w:vAlign w:val="bottom"/>
            <w:shd w:val="clear" w:color="auto" w:fill="E9F8FD"/>
          </w:tcPr>
          <w:p>
            <w:pPr>
              <w:ind w:left="520"/>
              <w:spacing w:after="0"/>
              <w:rPr>
                <w:sz w:val="20"/>
                <w:szCs w:val="20"/>
                <w:color w:val="auto"/>
              </w:rPr>
            </w:pPr>
            <w:r>
              <w:rPr>
                <w:rFonts w:ascii="Arial" w:cs="Arial" w:eastAsia="Arial" w:hAnsi="Arial"/>
                <w:sz w:val="16"/>
                <w:szCs w:val="16"/>
                <w:color w:val="42B6E9"/>
              </w:rPr>
              <w:t>5.3</w:t>
            </w:r>
          </w:p>
        </w:tc>
        <w:tc>
          <w:tcPr>
            <w:tcW w:w="1440" w:type="dxa"/>
            <w:vAlign w:val="bottom"/>
            <w:shd w:val="clear" w:color="auto" w:fill="E9F8FD"/>
          </w:tcPr>
          <w:p>
            <w:pPr>
              <w:jc w:val="right"/>
              <w:ind w:right="200"/>
              <w:spacing w:after="0"/>
              <w:rPr>
                <w:sz w:val="20"/>
                <w:szCs w:val="20"/>
                <w:color w:val="auto"/>
              </w:rPr>
            </w:pPr>
            <w:r>
              <w:rPr>
                <w:rFonts w:ascii="Arial" w:cs="Arial" w:eastAsia="Arial" w:hAnsi="Arial"/>
                <w:sz w:val="16"/>
                <w:szCs w:val="16"/>
                <w:color w:val="42B6E9"/>
              </w:rPr>
              <w:t>—</w:t>
            </w:r>
          </w:p>
        </w:tc>
        <w:tc>
          <w:tcPr>
            <w:tcW w:w="860" w:type="dxa"/>
            <w:vAlign w:val="bottom"/>
            <w:shd w:val="clear" w:color="auto" w:fill="E9F8FD"/>
          </w:tcPr>
          <w:p>
            <w:pPr>
              <w:jc w:val="center"/>
              <w:spacing w:after="0"/>
              <w:rPr>
                <w:sz w:val="20"/>
                <w:szCs w:val="20"/>
                <w:color w:val="auto"/>
              </w:rPr>
            </w:pPr>
            <w:r>
              <w:rPr>
                <w:rFonts w:ascii="Arial" w:cs="Arial" w:eastAsia="Arial" w:hAnsi="Arial"/>
                <w:sz w:val="16"/>
                <w:szCs w:val="16"/>
                <w:color w:val="42B6E9"/>
                <w:w w:val="99"/>
              </w:rPr>
              <w:t>—</w:t>
            </w:r>
          </w:p>
        </w:tc>
        <w:tc>
          <w:tcPr>
            <w:tcW w:w="1420" w:type="dxa"/>
            <w:vAlign w:val="bottom"/>
            <w:shd w:val="clear" w:color="auto" w:fill="E9F8FD"/>
          </w:tcPr>
          <w:p>
            <w:pPr>
              <w:jc w:val="center"/>
              <w:ind w:left="120"/>
              <w:spacing w:after="0"/>
              <w:rPr>
                <w:sz w:val="20"/>
                <w:szCs w:val="20"/>
                <w:color w:val="auto"/>
              </w:rPr>
            </w:pPr>
            <w:r>
              <w:rPr>
                <w:rFonts w:ascii="Arial" w:cs="Arial" w:eastAsia="Arial" w:hAnsi="Arial"/>
                <w:sz w:val="16"/>
                <w:szCs w:val="16"/>
                <w:color w:val="42B6E9"/>
                <w:w w:val="95"/>
              </w:rPr>
              <w:t>*</w:t>
            </w:r>
          </w:p>
        </w:tc>
        <w:tc>
          <w:tcPr>
            <w:tcW w:w="0" w:type="dxa"/>
            <w:vAlign w:val="bottom"/>
          </w:tcPr>
          <w:p>
            <w:pPr>
              <w:spacing w:after="0"/>
              <w:rPr>
                <w:sz w:val="1"/>
                <w:szCs w:val="1"/>
                <w:color w:val="auto"/>
              </w:rPr>
            </w:pPr>
          </w:p>
        </w:tc>
      </w:tr>
      <w:tr>
        <w:trPr>
          <w:trHeight w:val="270"/>
        </w:trPr>
        <w:tc>
          <w:tcPr>
            <w:tcW w:w="3260" w:type="dxa"/>
            <w:vAlign w:val="bottom"/>
            <w:shd w:val="clear" w:color="auto" w:fill="E9F8FD"/>
          </w:tcPr>
          <w:p>
            <w:pPr>
              <w:ind w:left="60"/>
              <w:spacing w:after="0" w:line="270" w:lineRule="exact"/>
              <w:rPr>
                <w:sz w:val="20"/>
                <w:szCs w:val="20"/>
                <w:color w:val="auto"/>
              </w:rPr>
            </w:pPr>
            <w:r>
              <w:rPr>
                <w:rFonts w:ascii="Arial" w:cs="Arial" w:eastAsia="Arial" w:hAnsi="Arial"/>
                <w:sz w:val="16"/>
                <w:szCs w:val="16"/>
                <w:color w:val="42B6E9"/>
              </w:rPr>
              <w:t>Sheng Zhang</w:t>
            </w:r>
            <w:r>
              <w:rPr>
                <w:rFonts w:ascii="Arial" w:cs="Arial" w:eastAsia="Arial" w:hAnsi="Arial"/>
                <w:sz w:val="26"/>
                <w:szCs w:val="26"/>
                <w:color w:val="42B6E9"/>
                <w:vertAlign w:val="superscript"/>
              </w:rPr>
              <w:t>(21)</w:t>
            </w:r>
          </w:p>
        </w:tc>
        <w:tc>
          <w:tcPr>
            <w:tcW w:w="1560" w:type="dxa"/>
            <w:vAlign w:val="bottom"/>
            <w:shd w:val="clear" w:color="auto" w:fill="E9F8FD"/>
          </w:tcPr>
          <w:p>
            <w:pPr>
              <w:jc w:val="right"/>
              <w:ind w:right="40"/>
              <w:spacing w:after="0"/>
              <w:rPr>
                <w:sz w:val="20"/>
                <w:szCs w:val="20"/>
                <w:color w:val="auto"/>
              </w:rPr>
            </w:pPr>
            <w:r>
              <w:rPr>
                <w:rFonts w:ascii="Arial" w:cs="Arial" w:eastAsia="Arial" w:hAnsi="Arial"/>
                <w:sz w:val="16"/>
                <w:szCs w:val="16"/>
                <w:color w:val="42B6E9"/>
              </w:rPr>
              <w:t>—</w:t>
            </w:r>
          </w:p>
        </w:tc>
        <w:tc>
          <w:tcPr>
            <w:tcW w:w="1020" w:type="dxa"/>
            <w:vAlign w:val="bottom"/>
            <w:shd w:val="clear" w:color="auto" w:fill="E9F8FD"/>
          </w:tcPr>
          <w:p>
            <w:pPr>
              <w:jc w:val="center"/>
              <w:ind w:left="100"/>
              <w:spacing w:after="0"/>
              <w:rPr>
                <w:sz w:val="20"/>
                <w:szCs w:val="20"/>
                <w:color w:val="auto"/>
              </w:rPr>
            </w:pPr>
            <w:r>
              <w:rPr>
                <w:rFonts w:ascii="Arial" w:cs="Arial" w:eastAsia="Arial" w:hAnsi="Arial"/>
                <w:sz w:val="16"/>
                <w:szCs w:val="16"/>
                <w:color w:val="42B6E9"/>
                <w:w w:val="99"/>
              </w:rPr>
              <w:t>—</w:t>
            </w:r>
          </w:p>
        </w:tc>
        <w:tc>
          <w:tcPr>
            <w:tcW w:w="1440" w:type="dxa"/>
            <w:vAlign w:val="bottom"/>
            <w:shd w:val="clear" w:color="auto" w:fill="E9F8FD"/>
          </w:tcPr>
          <w:p>
            <w:pPr>
              <w:jc w:val="right"/>
              <w:ind w:right="200"/>
              <w:spacing w:after="0"/>
              <w:rPr>
                <w:sz w:val="20"/>
                <w:szCs w:val="20"/>
                <w:color w:val="auto"/>
              </w:rPr>
            </w:pPr>
            <w:r>
              <w:rPr>
                <w:rFonts w:ascii="Arial" w:cs="Arial" w:eastAsia="Arial" w:hAnsi="Arial"/>
                <w:sz w:val="16"/>
                <w:szCs w:val="16"/>
                <w:color w:val="42B6E9"/>
              </w:rPr>
              <w:t>24,482,177</w:t>
            </w:r>
          </w:p>
        </w:tc>
        <w:tc>
          <w:tcPr>
            <w:tcW w:w="860" w:type="dxa"/>
            <w:vAlign w:val="bottom"/>
            <w:shd w:val="clear" w:color="auto" w:fill="E9F8FD"/>
          </w:tcPr>
          <w:p>
            <w:pPr>
              <w:jc w:val="center"/>
              <w:spacing w:after="0"/>
              <w:rPr>
                <w:sz w:val="20"/>
                <w:szCs w:val="20"/>
                <w:color w:val="auto"/>
              </w:rPr>
            </w:pPr>
            <w:r>
              <w:rPr>
                <w:rFonts w:ascii="Arial" w:cs="Arial" w:eastAsia="Arial" w:hAnsi="Arial"/>
                <w:sz w:val="16"/>
                <w:szCs w:val="16"/>
                <w:color w:val="42B6E9"/>
              </w:rPr>
              <w:t>18.1</w:t>
            </w:r>
          </w:p>
        </w:tc>
        <w:tc>
          <w:tcPr>
            <w:tcW w:w="1420" w:type="dxa"/>
            <w:vAlign w:val="bottom"/>
            <w:shd w:val="clear" w:color="auto" w:fill="E9F8FD"/>
          </w:tcPr>
          <w:p>
            <w:pPr>
              <w:jc w:val="center"/>
              <w:ind w:left="100"/>
              <w:spacing w:after="0"/>
              <w:rPr>
                <w:sz w:val="20"/>
                <w:szCs w:val="20"/>
                <w:color w:val="auto"/>
              </w:rPr>
            </w:pPr>
            <w:r>
              <w:rPr>
                <w:rFonts w:ascii="Arial" w:cs="Arial" w:eastAsia="Arial" w:hAnsi="Arial"/>
                <w:sz w:val="16"/>
                <w:szCs w:val="16"/>
                <w:color w:val="42B6E9"/>
              </w:rPr>
              <w:t>15.3</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244" w:hanging="244"/>
        <w:spacing w:after="0"/>
        <w:tabs>
          <w:tab w:leader="none" w:pos="244" w:val="left"/>
        </w:tabs>
        <w:numPr>
          <w:ilvl w:val="0"/>
          <w:numId w:val="23"/>
        </w:numPr>
        <w:rPr>
          <w:rFonts w:ascii="Arial" w:cs="Arial" w:eastAsia="Arial" w:hAnsi="Arial"/>
          <w:sz w:val="22"/>
          <w:szCs w:val="22"/>
          <w:color w:val="auto"/>
          <w:vertAlign w:val="superscript"/>
        </w:rPr>
      </w:pPr>
      <w:r>
        <w:rPr>
          <w:rFonts w:ascii="Arial" w:cs="Arial" w:eastAsia="Arial" w:hAnsi="Arial"/>
          <w:sz w:val="14"/>
          <w:szCs w:val="14"/>
          <w:color w:val="auto"/>
        </w:rPr>
        <w:t>Less than one percent.</w:t>
      </w:r>
    </w:p>
    <w:p>
      <w:pPr>
        <w:ind w:left="244" w:hanging="244"/>
        <w:spacing w:after="0" w:line="188" w:lineRule="auto"/>
        <w:tabs>
          <w:tab w:leader="none" w:pos="244"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Percentage of total voting power represents voting power with respect to all shares of our Class A and Class B common stock, held beneficially as</w:t>
      </w:r>
    </w:p>
    <w:p>
      <w:pPr>
        <w:spacing w:after="0" w:line="188" w:lineRule="exact"/>
        <w:rPr>
          <w:sz w:val="20"/>
          <w:szCs w:val="20"/>
          <w:color w:val="auto"/>
        </w:rPr>
      </w:pPr>
    </w:p>
    <w:p>
      <w:pPr>
        <w:ind w:left="524" w:hanging="524"/>
        <w:spacing w:after="0"/>
        <w:tabs>
          <w:tab w:leader="none" w:pos="524" w:val="left"/>
        </w:tabs>
        <w:numPr>
          <w:ilvl w:val="0"/>
          <w:numId w:val="25"/>
        </w:numPr>
        <w:rPr>
          <w:rFonts w:ascii="Arial" w:cs="Arial" w:eastAsia="Arial" w:hAnsi="Arial"/>
          <w:sz w:val="14"/>
          <w:szCs w:val="14"/>
          <w:b w:val="1"/>
          <w:bCs w:val="1"/>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758" w:gutter="0" w:footer="0" w:header="0"/>
        </w:sectPr>
      </w:pPr>
    </w:p>
    <w:bookmarkStart w:id="19" w:name="page20"/>
    <w:bookmarkEnd w:id="19"/>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jc w:val="both"/>
        <w:ind w:left="960" w:right="740"/>
        <w:spacing w:after="0" w:line="249" w:lineRule="auto"/>
        <w:rPr>
          <w:sz w:val="20"/>
          <w:szCs w:val="20"/>
          <w:color w:val="auto"/>
        </w:rPr>
      </w:pPr>
      <w:r>
        <w:rPr>
          <w:rFonts w:ascii="Arial" w:cs="Arial" w:eastAsia="Arial" w:hAnsi="Arial"/>
          <w:sz w:val="14"/>
          <w:szCs w:val="14"/>
          <w:color w:val="auto"/>
        </w:rPr>
        <w:t>a single class. The holders of our Class B common stock are entitled to 20 votes per share, and holders of our Class A common stock are entitled to one vote per share. For more information about the voting rights of our Class A and Class B common stock, see the section titled “Description of Capital Stock—Common Stock” of our Annual Report on Form 10-K for the year ended December 31, 2020.</w:t>
      </w:r>
    </w:p>
    <w:p>
      <w:pPr>
        <w:spacing w:after="0" w:line="12" w:lineRule="exact"/>
        <w:rPr>
          <w:sz w:val="20"/>
          <w:szCs w:val="20"/>
          <w:color w:val="auto"/>
        </w:rPr>
      </w:pPr>
    </w:p>
    <w:p>
      <w:pPr>
        <w:ind w:left="960" w:right="840" w:hanging="244"/>
        <w:spacing w:after="0" w:line="214" w:lineRule="auto"/>
        <w:tabs>
          <w:tab w:leader="none" w:pos="96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Consists of (i) 55,690,036 shares of Class B common stock, (ii) 43,375,000 shares of Class B common stock issuable upon exercise of options exercisable within 60 days of April 15, 2021, and (iii) 972,613 shares of Class B common stock issuable upon vesting and settlement of restricted stock units within 60 days of April 15, 2021. Mr. Szulczewski also holds 2,421,236 restricted stock units and 10,021,500 performance awards which are subject to vesting conditions not expected to occur within 60 days of April 15, 2021.</w:t>
      </w:r>
    </w:p>
    <w:p>
      <w:pPr>
        <w:spacing w:after="0" w:line="5" w:lineRule="exact"/>
        <w:rPr>
          <w:rFonts w:ascii="Arial" w:cs="Arial" w:eastAsia="Arial" w:hAnsi="Arial"/>
          <w:sz w:val="22"/>
          <w:szCs w:val="22"/>
          <w:color w:val="auto"/>
          <w:vertAlign w:val="superscript"/>
        </w:rPr>
      </w:pPr>
    </w:p>
    <w:p>
      <w:pPr>
        <w:ind w:left="960" w:right="800" w:hanging="244"/>
        <w:spacing w:after="0" w:line="219" w:lineRule="auto"/>
        <w:tabs>
          <w:tab w:leader="none" w:pos="96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Consists of 1,999,830 shares of our Class A common stock, 27,191,890 shares of our Class B common stock, and an option to purchase 250,000 shares of our Class B common stock held by other stockholders over which Mr. Szulczewski holds an irrevocable proxy, pursuant to voting agreements between Mr. Szulczewski, us and such stockholders, including certain of our directors and holders of more than 5% of our capital stock with respect to certain matters, as indicated in the footnotes below. We do not believe that the parties to these proxies constitute a “group” under Section 13 of the Securities Exchange Act of 1934, as amended, as Mr. Szulczewski exercises voting control over these shares.</w:t>
      </w:r>
    </w:p>
    <w:p>
      <w:pPr>
        <w:spacing w:after="0" w:line="1" w:lineRule="exact"/>
        <w:rPr>
          <w:rFonts w:ascii="Arial" w:cs="Arial" w:eastAsia="Arial" w:hAnsi="Arial"/>
          <w:sz w:val="22"/>
          <w:szCs w:val="22"/>
          <w:color w:val="auto"/>
          <w:vertAlign w:val="superscript"/>
        </w:rPr>
      </w:pPr>
    </w:p>
    <w:p>
      <w:pPr>
        <w:ind w:left="960" w:hanging="244"/>
        <w:spacing w:after="0" w:line="183" w:lineRule="auto"/>
        <w:tabs>
          <w:tab w:leader="none" w:pos="960" w:val="left"/>
        </w:tabs>
        <w:numPr>
          <w:ilvl w:val="0"/>
          <w:numId w:val="26"/>
        </w:numPr>
        <w:rPr>
          <w:rFonts w:ascii="Arial" w:cs="Arial" w:eastAsia="Arial" w:hAnsi="Arial"/>
          <w:sz w:val="20"/>
          <w:szCs w:val="20"/>
          <w:color w:val="auto"/>
          <w:vertAlign w:val="superscript"/>
        </w:rPr>
      </w:pPr>
      <w:r>
        <w:rPr>
          <w:rFonts w:ascii="Arial" w:cs="Arial" w:eastAsia="Arial" w:hAnsi="Arial"/>
          <w:sz w:val="14"/>
          <w:szCs w:val="14"/>
          <w:color w:val="auto"/>
        </w:rPr>
        <w:t>Ms. Bradley holds 111,110 restricted stock units which are subject to vesting conditions not expected to occur within 60 days of April 15, 2021.</w:t>
      </w:r>
    </w:p>
    <w:p>
      <w:pPr>
        <w:spacing w:after="0" w:line="16" w:lineRule="exact"/>
        <w:rPr>
          <w:rFonts w:ascii="Arial" w:cs="Arial" w:eastAsia="Arial" w:hAnsi="Arial"/>
          <w:sz w:val="20"/>
          <w:szCs w:val="20"/>
          <w:color w:val="auto"/>
          <w:vertAlign w:val="superscript"/>
        </w:rPr>
      </w:pPr>
    </w:p>
    <w:p>
      <w:pPr>
        <w:ind w:left="960" w:right="860" w:hanging="244"/>
        <w:spacing w:after="0" w:line="193" w:lineRule="auto"/>
        <w:tabs>
          <w:tab w:leader="none" w:pos="96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Consists of 396,660 shares of Class A common stock held by Mr. Emanuel. Mr. Emanuel also holds 75,000 unvested restricted stock units which are subject to vesting conditions not expected to occur within 60 days for April 15, 2021.</w:t>
      </w:r>
    </w:p>
    <w:p>
      <w:pPr>
        <w:spacing w:after="0" w:line="4" w:lineRule="exact"/>
        <w:rPr>
          <w:rFonts w:ascii="Arial" w:cs="Arial" w:eastAsia="Arial" w:hAnsi="Arial"/>
          <w:sz w:val="22"/>
          <w:szCs w:val="22"/>
          <w:color w:val="auto"/>
          <w:vertAlign w:val="superscript"/>
        </w:rPr>
      </w:pPr>
    </w:p>
    <w:p>
      <w:pPr>
        <w:ind w:left="960" w:right="780" w:hanging="244"/>
        <w:spacing w:after="0"/>
        <w:tabs>
          <w:tab w:leader="none" w:pos="96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Consists of (i) 705,700 shares of Class B common stock and 250,000 shares of Class B common stock issuable upon exercise of options exercisable within 60 days of April 15, 2021 beneficially owned by Mr. Lonsdale, (ii) 56,407,496 shares of Class A common stock and 5,800,630 shares of Class B common stock held by Formation8 Partners Fund I. L.P., (iii) 2,049,960 shares of Class A common stock and 772,570 shares of Class B common stock held by 8VC Co-Invest Fund, I, L.P., (iv) 5,399,550 shares of Class A common stock held by F8 StarLight SPV, L.P., (v) 1,579,080 shares of Class A common stock held by F8 StarLight SPV II, L.P. (vi) 1,470,940 shares of Class A common stock held by Anduin I, L.P., and (vii) 2,447,770 shares of class A common stock held by CL SPV, L.P. Mr. Lonsdale, a member of our board of directors holds shared voting and investment power with respect to Formation8 Partners Fund I. L.P., F8 StarLight SPV, L.P. and F8 StarLight SPV II, L.P. and ultimate voting and investment power with respect to the securities held by 8V Co-Invest Fund, I, L.P., Anduin I, L.P., and CL SPV, L.P., and disclaims beneficial ownership of the shares held by such entities except to the extent of his pecuniary interests therein. The address for Mr. Lonsdale is c/o 8VC, 907 South Congress Avenue, Austin, TX 78704. 7,278,900 shares of our Class B common stock held by 8VC Co-Invest Fund I, L.P., Formation8 Partners Fund I, L.P., and Mr. Lonsdale and 250,000 shares of Class B common stock issuable upon exercise of options exercisable within 60 days of April 15, 2021 beneficially owned by Mr. Lonsdale, collectively, are subject to a proxy in favor of Mr. Szulczewski referred to in footnote (3) above.</w:t>
      </w:r>
    </w:p>
    <w:p>
      <w:pPr>
        <w:spacing w:after="0" w:line="95" w:lineRule="exact"/>
        <w:rPr>
          <w:rFonts w:ascii="Arial" w:cs="Arial" w:eastAsia="Arial" w:hAnsi="Arial"/>
          <w:sz w:val="22"/>
          <w:szCs w:val="22"/>
          <w:color w:val="auto"/>
          <w:vertAlign w:val="superscript"/>
        </w:rPr>
      </w:pPr>
    </w:p>
    <w:p>
      <w:pPr>
        <w:ind w:left="960" w:right="760" w:hanging="244"/>
        <w:spacing w:after="0" w:line="235" w:lineRule="auto"/>
        <w:tabs>
          <w:tab w:leader="none" w:pos="96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Consists of (i) 1,400,000 shares of Class B common stock and (ii) 16,888,478 shares of Class A common stock held by General Atlantic (WI), L.P. (“GA WI”). The limited partners that share beneficial ownership of the shares held by GA WI are the following General Atlantic investment funds (the “GA Funds”): General Atlantic Partners 100, L.P. (“GAP 100”), General Atlantic Partners (Bermuda) EU, L.P. (“GAP EU”), General Atlantic Partners (Lux) SCSp (“GAP Lux”), GAP Coinvestments III, LLC (“GAPCO III”), GAP Coinvestments IV, LLC (“GAPCO IV”), GAP Coinvesments V, LLC (“GAPCO V”) and GAP Coinvestments CDA, L.P. (“GAPCO CDA”). The general partner of GA WI is General Atlantic (SPV) GP, LLC (“GA SPV”). The general partner of GAP Lux is General Atlantic GenPar (Lux) SCSp (“GA GenPar Lux”) and the general partner of GA GenPar Lux is General Atlantic (Lux) S.àr.l. (“GA Lux”). The general partner of GAP Bermuda EU and the sole shareholder of GA Lux is General Atlantic GenPar (Bermuda), L.P. (“GenPar Bermuda”). GAP (Bermuda) Limited (“GAP (Bermuda) Limited”) is the general partner of GenPar Bermuda. The general partner of GAP 100 is General Atlantic GenPar, L.P. (“GA GenPar”) and the general partner of GA GenPar is General Atlantic LLC (“GA LLC”). GA LLC is the managing member of GAPCO III, GAPCO IV and GAPCO V, the general partner of GAPCO CDA and is the sole member of GA SPV. There are nine members of the management committee of GA LLC (the “GA Management Committee”). The members of the GA Management Committee are also the members of the management committee of GAP (Bermuda) Limited. GA WI, GA LLC, GA GenPar, GAP (Bermuda) Limited, GenPar Bermuda, GA Lux, GA GenPar Lux, GA SPV and the GA Funds (collectively, the “GA Group”) are a “group” within the meaning of Rule 13d-5 of the Securities Exchange Act of 1934, as amended. The mailing address of the foregoing General Atlantic entities (other than GAP Bermuda EU, GAP Lux, GA GenPar Lux, GA Lux, GenPar Bermuda and GAP (Bermuda) Limited) is c/o General Atlantic Service Company, L.P., 55 East 52nd Street, 33rd Floor, New York, NY 10055. The mailing address of GAP Bermuda EU, GenPar Bermuda, and GAP (Bermuda) Limited is Clarendon House, 2 Church Street, Hamilton HM 11, Bermuda. The mailing address for GAP Lux, GA GenPar Lux and GA Lux is Luxembourg is 412 F, Route D’Esch, L-2086 Luxembourg. Each of the members of the GA Management Committee disclaims ownership of the shares except to the extent that he has a pecuniary interest therein. Mr. Syed is a Managing Director of GA LLC and serves as a director of the Company. Mr. Syed disclaims ownership of all such shares except to the extent that he has a pecuniary interest therein.</w:t>
      </w:r>
    </w:p>
    <w:p>
      <w:pPr>
        <w:spacing w:after="0" w:line="7" w:lineRule="exact"/>
        <w:rPr>
          <w:rFonts w:ascii="Arial" w:cs="Arial" w:eastAsia="Arial" w:hAnsi="Arial"/>
          <w:sz w:val="22"/>
          <w:szCs w:val="22"/>
          <w:color w:val="auto"/>
          <w:vertAlign w:val="superscript"/>
        </w:rPr>
      </w:pPr>
    </w:p>
    <w:p>
      <w:pPr>
        <w:ind w:left="960" w:hanging="244"/>
        <w:spacing w:after="0" w:line="197" w:lineRule="auto"/>
        <w:tabs>
          <w:tab w:leader="none" w:pos="960" w:val="left"/>
        </w:tabs>
        <w:numPr>
          <w:ilvl w:val="0"/>
          <w:numId w:val="26"/>
        </w:numPr>
        <w:rPr>
          <w:rFonts w:ascii="Arial" w:cs="Arial" w:eastAsia="Arial" w:hAnsi="Arial"/>
          <w:sz w:val="20"/>
          <w:szCs w:val="20"/>
          <w:color w:val="auto"/>
          <w:vertAlign w:val="superscript"/>
        </w:rPr>
      </w:pPr>
      <w:r>
        <w:rPr>
          <w:rFonts w:ascii="Arial" w:cs="Arial" w:eastAsia="Arial" w:hAnsi="Arial"/>
          <w:sz w:val="14"/>
          <w:szCs w:val="14"/>
          <w:color w:val="auto"/>
        </w:rPr>
        <w:t>Ms. Tilenius holds 111,110 restricted stock units which are subject to vesting conditions not expected to occur within 60 days of April 15, 2021.</w:t>
      </w:r>
    </w:p>
    <w:p>
      <w:pPr>
        <w:spacing w:after="0" w:line="3" w:lineRule="exact"/>
        <w:rPr>
          <w:rFonts w:ascii="Arial" w:cs="Arial" w:eastAsia="Arial" w:hAnsi="Arial"/>
          <w:sz w:val="20"/>
          <w:szCs w:val="20"/>
          <w:color w:val="auto"/>
          <w:vertAlign w:val="superscript"/>
        </w:rPr>
      </w:pPr>
    </w:p>
    <w:p>
      <w:pPr>
        <w:ind w:left="960" w:right="740" w:hanging="244"/>
        <w:spacing w:after="0" w:line="227" w:lineRule="auto"/>
        <w:tabs>
          <w:tab w:leader="none" w:pos="96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Consists of (i) 556,140 shares of Class A common stock and 97,520 shares of Class B common stock held by GGV Capital IV Entrepreneurs Fund L.P., (ii) 26,229,210 shares of Class A common stock and 4,599,080 shares of Class B common stock held by GGV Capital IV L.P., and (iii) 6,555,290 shares of Class A common stock held by GGV Capital Select L.P. GGV Capital IV L.L.C. is the general partner of GGV Capital IV Entrepreneurs Fund L.P. and GGV Capital IV L.P. GGV Capital Select L.L.C. is the general partner of GGV Capital Select L.P. Mr. Tung is one out of five Managing Directors of GGV Capital IV L.L.C. and GGV Capital Select L.L.C. and therefore, is deemed to share voting and investment power with regard to the securities held directly by such entities. Mr. Tung disclaims beneficial ownership of such shares except to the extent of his pecuniary interest in such shares. The address for Mr. Tung is c/o GGV Capital, 3000 Sand Hill Road, Building 4, Suite 230, Menlo Park, California 94025. Please see footnote (19) below for a description of proxies entered into by certain of the funds listed herein.</w:t>
      </w:r>
    </w:p>
    <w:p>
      <w:pPr>
        <w:spacing w:after="0" w:line="1" w:lineRule="exact"/>
        <w:rPr>
          <w:rFonts w:ascii="Arial" w:cs="Arial" w:eastAsia="Arial" w:hAnsi="Arial"/>
          <w:sz w:val="22"/>
          <w:szCs w:val="22"/>
          <w:color w:val="auto"/>
          <w:vertAlign w:val="superscript"/>
        </w:rPr>
      </w:pPr>
    </w:p>
    <w:p>
      <w:pPr>
        <w:ind w:left="960" w:hanging="244"/>
        <w:spacing w:after="0" w:line="183" w:lineRule="auto"/>
        <w:tabs>
          <w:tab w:leader="none" w:pos="960" w:val="left"/>
        </w:tabs>
        <w:numPr>
          <w:ilvl w:val="0"/>
          <w:numId w:val="26"/>
        </w:numPr>
        <w:rPr>
          <w:rFonts w:ascii="Arial" w:cs="Arial" w:eastAsia="Arial" w:hAnsi="Arial"/>
          <w:sz w:val="20"/>
          <w:szCs w:val="20"/>
          <w:color w:val="auto"/>
          <w:vertAlign w:val="superscript"/>
        </w:rPr>
      </w:pPr>
      <w:r>
        <w:rPr>
          <w:rFonts w:ascii="Arial" w:cs="Arial" w:eastAsia="Arial" w:hAnsi="Arial"/>
          <w:sz w:val="14"/>
          <w:szCs w:val="14"/>
          <w:color w:val="auto"/>
        </w:rPr>
        <w:t>Ms. Reses holds 111,110 restricted stock units which are subject to vesting conditions not expected to occur within 60 days of April 15, 2021.</w:t>
      </w:r>
    </w:p>
    <w:p>
      <w:pPr>
        <w:spacing w:after="0" w:line="16" w:lineRule="exact"/>
        <w:rPr>
          <w:rFonts w:ascii="Arial" w:cs="Arial" w:eastAsia="Arial" w:hAnsi="Arial"/>
          <w:sz w:val="20"/>
          <w:szCs w:val="20"/>
          <w:color w:val="auto"/>
          <w:vertAlign w:val="superscript"/>
        </w:rPr>
      </w:pPr>
    </w:p>
    <w:p>
      <w:pPr>
        <w:ind w:left="960" w:right="840" w:hanging="244"/>
        <w:spacing w:after="0" w:line="215" w:lineRule="auto"/>
        <w:tabs>
          <w:tab w:leader="none" w:pos="960" w:val="left"/>
        </w:tabs>
        <w:numPr>
          <w:ilvl w:val="0"/>
          <w:numId w:val="26"/>
        </w:numPr>
        <w:rPr>
          <w:rFonts w:ascii="Arial" w:cs="Arial" w:eastAsia="Arial" w:hAnsi="Arial"/>
          <w:sz w:val="20"/>
          <w:szCs w:val="20"/>
          <w:color w:val="auto"/>
          <w:vertAlign w:val="superscript"/>
        </w:rPr>
      </w:pPr>
      <w:r>
        <w:rPr>
          <w:rFonts w:ascii="Arial" w:cs="Arial" w:eastAsia="Arial" w:hAnsi="Arial"/>
          <w:sz w:val="14"/>
          <w:szCs w:val="14"/>
          <w:color w:val="auto"/>
        </w:rPr>
        <w:t>Consists of (1) 836,992 shares of Class A common stock and (2) 497,149 shares of Class B common stock issuable upon vesting and settlement of restricted stock units within 60 days of April 15, 2021. Mr. Bahri also holds 1,554,192 restricted stock units which are subject to vesting conditions not expected to occur within 60 days of April 15, 2021.</w:t>
      </w:r>
    </w:p>
    <w:p>
      <w:pPr>
        <w:spacing w:after="0" w:line="5" w:lineRule="exact"/>
        <w:rPr>
          <w:rFonts w:ascii="Arial" w:cs="Arial" w:eastAsia="Arial" w:hAnsi="Arial"/>
          <w:sz w:val="20"/>
          <w:szCs w:val="20"/>
          <w:color w:val="auto"/>
          <w:vertAlign w:val="superscript"/>
        </w:rPr>
      </w:pPr>
    </w:p>
    <w:p>
      <w:pPr>
        <w:ind w:left="960" w:right="760" w:hanging="244"/>
        <w:spacing w:after="0" w:line="215" w:lineRule="auto"/>
        <w:tabs>
          <w:tab w:leader="none" w:pos="960" w:val="left"/>
        </w:tabs>
        <w:numPr>
          <w:ilvl w:val="0"/>
          <w:numId w:val="26"/>
        </w:numPr>
        <w:rPr>
          <w:rFonts w:ascii="Arial" w:cs="Arial" w:eastAsia="Arial" w:hAnsi="Arial"/>
          <w:sz w:val="20"/>
          <w:szCs w:val="20"/>
          <w:color w:val="auto"/>
          <w:vertAlign w:val="superscript"/>
        </w:rPr>
      </w:pPr>
      <w:r>
        <w:rPr>
          <w:rFonts w:ascii="Arial" w:cs="Arial" w:eastAsia="Arial" w:hAnsi="Arial"/>
          <w:sz w:val="14"/>
          <w:szCs w:val="14"/>
          <w:color w:val="auto"/>
        </w:rPr>
        <w:t>Consists of (1) 30,635 shares of Class A common stock and (2) 116,178 shares of Class B common stock issuable upon vesting and settlement of restricted stock units within 60 days of April 15, 2021. Mr. Shah also holds 547,798 restricted stock units which are subject to vesting conditions not expected to occur within 60 days of April 15, 2021.</w:t>
      </w:r>
    </w:p>
    <w:p>
      <w:pPr>
        <w:spacing w:after="0" w:line="5" w:lineRule="exact"/>
        <w:rPr>
          <w:rFonts w:ascii="Arial" w:cs="Arial" w:eastAsia="Arial" w:hAnsi="Arial"/>
          <w:sz w:val="20"/>
          <w:szCs w:val="20"/>
          <w:color w:val="auto"/>
          <w:vertAlign w:val="superscript"/>
        </w:rPr>
      </w:pPr>
    </w:p>
    <w:p>
      <w:pPr>
        <w:ind w:left="960" w:right="980" w:hanging="244"/>
        <w:spacing w:after="0" w:line="221" w:lineRule="auto"/>
        <w:tabs>
          <w:tab w:leader="none" w:pos="960" w:val="left"/>
        </w:tabs>
        <w:numPr>
          <w:ilvl w:val="0"/>
          <w:numId w:val="26"/>
        </w:numPr>
        <w:rPr>
          <w:rFonts w:ascii="Arial" w:cs="Arial" w:eastAsia="Arial" w:hAnsi="Arial"/>
          <w:sz w:val="20"/>
          <w:szCs w:val="20"/>
          <w:color w:val="auto"/>
          <w:vertAlign w:val="superscript"/>
        </w:rPr>
      </w:pPr>
      <w:r>
        <w:rPr>
          <w:rFonts w:ascii="Arial" w:cs="Arial" w:eastAsia="Arial" w:hAnsi="Arial"/>
          <w:sz w:val="14"/>
          <w:szCs w:val="14"/>
          <w:color w:val="auto"/>
        </w:rPr>
        <w:t>Consists of (1) 49,045 shares of Class A common stock, (2) 279,000 shares of Class B common stock issuable upon exercise of options exercisable within 60 days of April 15, 2021 and (3) 37,078 shares of Class B common stock issuable upon vesting and settlement of restricted stock units within 60 days of April 15, 2021. Mr. Chuang also holds 162,203 restricted stock unit which are subject to vesting conditions not expected to occur within 60 days of April 15, 2021.</w:t>
      </w:r>
    </w:p>
    <w:p>
      <w:pPr>
        <w:spacing w:after="0" w:line="18" w:lineRule="exact"/>
        <w:rPr>
          <w:rFonts w:ascii="Arial" w:cs="Arial" w:eastAsia="Arial" w:hAnsi="Arial"/>
          <w:sz w:val="20"/>
          <w:szCs w:val="20"/>
          <w:color w:val="auto"/>
          <w:vertAlign w:val="superscript"/>
        </w:rPr>
      </w:pPr>
    </w:p>
    <w:p>
      <w:pPr>
        <w:ind w:left="960" w:right="860" w:hanging="244"/>
        <w:spacing w:after="0" w:line="215" w:lineRule="auto"/>
        <w:tabs>
          <w:tab w:leader="none" w:pos="960" w:val="left"/>
        </w:tabs>
        <w:numPr>
          <w:ilvl w:val="0"/>
          <w:numId w:val="26"/>
        </w:numPr>
        <w:rPr>
          <w:rFonts w:ascii="Arial" w:cs="Arial" w:eastAsia="Arial" w:hAnsi="Arial"/>
          <w:sz w:val="20"/>
          <w:szCs w:val="20"/>
          <w:color w:val="auto"/>
          <w:vertAlign w:val="superscript"/>
        </w:rPr>
      </w:pPr>
      <w:r>
        <w:rPr>
          <w:rFonts w:ascii="Arial" w:cs="Arial" w:eastAsia="Arial" w:hAnsi="Arial"/>
          <w:sz w:val="14"/>
          <w:szCs w:val="14"/>
          <w:color w:val="auto"/>
        </w:rPr>
        <w:t>Consists of (1) 26,595 shares of Class A common stock, (2) 27,032 shares of Class B common stock issuable upon vesting and settlement of restricted stock units within 60 days of April 15, 2021. Mr. Liu also holds 164,637 restricted stock units which are subject to vesting conditions not expected to occur within 60 days of April 15, 2021.</w:t>
      </w:r>
    </w:p>
    <w:p>
      <w:pPr>
        <w:spacing w:after="0" w:line="5" w:lineRule="exact"/>
        <w:rPr>
          <w:rFonts w:ascii="Arial" w:cs="Arial" w:eastAsia="Arial" w:hAnsi="Arial"/>
          <w:sz w:val="20"/>
          <w:szCs w:val="20"/>
          <w:color w:val="auto"/>
          <w:vertAlign w:val="superscript"/>
        </w:rPr>
      </w:pPr>
    </w:p>
    <w:p>
      <w:pPr>
        <w:ind w:left="960" w:right="840" w:hanging="244"/>
        <w:spacing w:after="0" w:line="205" w:lineRule="auto"/>
        <w:tabs>
          <w:tab w:leader="none" w:pos="960" w:val="left"/>
        </w:tabs>
        <w:numPr>
          <w:ilvl w:val="0"/>
          <w:numId w:val="26"/>
        </w:numPr>
        <w:rPr>
          <w:rFonts w:ascii="Arial" w:cs="Arial" w:eastAsia="Arial" w:hAnsi="Arial"/>
          <w:sz w:val="20"/>
          <w:szCs w:val="20"/>
          <w:color w:val="auto"/>
          <w:vertAlign w:val="superscript"/>
        </w:rPr>
      </w:pPr>
      <w:r>
        <w:rPr>
          <w:rFonts w:ascii="Arial" w:cs="Arial" w:eastAsia="Arial" w:hAnsi="Arial"/>
          <w:sz w:val="14"/>
          <w:szCs w:val="14"/>
          <w:color w:val="auto"/>
        </w:rPr>
        <w:t>Consists of (i) 122,923,671 shares of Class A common stock beneficially owned by our directors and named executive officers, (ii) 84,281,926 shares of Class B common stock beneficially owned by our directors and executive officers, and (iii) 45,554,050 shares of Class B common stock</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060"/>
              <w:spacing w:after="0"/>
              <w:rPr>
                <w:sz w:val="20"/>
                <w:szCs w:val="20"/>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15</w:t>
            </w:r>
          </w:p>
        </w:tc>
      </w:tr>
      <w:tr>
        <w:trPr>
          <w:trHeight w:val="168"/>
        </w:trPr>
        <w:tc>
          <w:tcPr>
            <w:tcW w:w="9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20" w:name="page21"/>
    <w:bookmarkEnd w:id="20"/>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244" w:right="40"/>
        <w:spacing w:after="0" w:line="249" w:lineRule="auto"/>
        <w:rPr>
          <w:sz w:val="20"/>
          <w:szCs w:val="20"/>
          <w:color w:val="auto"/>
        </w:rPr>
      </w:pPr>
      <w:r>
        <w:rPr>
          <w:rFonts w:ascii="Arial" w:cs="Arial" w:eastAsia="Arial" w:hAnsi="Arial"/>
          <w:sz w:val="14"/>
          <w:szCs w:val="14"/>
          <w:color w:val="auto"/>
        </w:rPr>
        <w:t>issuable to our directors and executive officers upon exercise of outstanding stock options and vesting and settlement of RSUs exercisable or issuable within 60 days of April 15, 2021. The directors and executive officers also hold 15,279,896 restricted stock units and performance awards which are subject to vesting conditions not expected to occur within 60 days of April 15, 2021.</w:t>
      </w:r>
    </w:p>
    <w:p>
      <w:pPr>
        <w:spacing w:after="0" w:line="12" w:lineRule="exact"/>
        <w:rPr>
          <w:sz w:val="20"/>
          <w:szCs w:val="20"/>
          <w:color w:val="auto"/>
        </w:rPr>
      </w:pPr>
    </w:p>
    <w:p>
      <w:pPr>
        <w:ind w:left="244" w:right="140" w:hanging="244"/>
        <w:spacing w:after="0" w:line="232" w:lineRule="auto"/>
        <w:tabs>
          <w:tab w:leader="none" w:pos="244"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Represents (i) 34,403,400 shares of Class A common stock held by DST Global IV, L.P. (ii) 6,478,250 shares of Class A common stock held by DST Global IV Co-Invest, L.P., (iii) 16,195,640 shares of Class A common stock held by DST Global V, L.P. (iv) 28,585,330 shares of Class A common stock held by DST Investments XI, L.P. (v) 13,524,220 shares of Class A common stock held by DST Investments XV, L.P., and (vi) 4,608,540 shares of Class A common stock held by DST Investments XVI, L.P. We refer to DST Global IV, L.P., DST Global IV Co-Invest, L.P., DST Global V, L.P., DST Investments XI, L.P., DST Investments XV, L.P., and DST Investments XVI, L.P. as DST Global. The DST Global limited partnerships are each controlled by their respective general partner, DST Managers Limited or DST Managers V Limited (collectively, the “DST Global General Partners”). The DST Global General Partners, as applicable, hold ultimate voting and investment power over the shares held by DST Global. Despoina Zinonos is the President of each of the DST Global General Partners. The address for DST Global is c/o Trident Trust Company (Cayman) Limited, One Capital Place, PO Box 847, Grand Cayman, KY1-1103, Cayman Islands.</w:t>
      </w:r>
    </w:p>
    <w:p>
      <w:pPr>
        <w:spacing w:after="0" w:line="4" w:lineRule="exact"/>
        <w:rPr>
          <w:rFonts w:ascii="Arial" w:cs="Arial" w:eastAsia="Arial" w:hAnsi="Arial"/>
          <w:sz w:val="20"/>
          <w:szCs w:val="20"/>
          <w:color w:val="auto"/>
          <w:vertAlign w:val="superscript"/>
        </w:rPr>
      </w:pPr>
    </w:p>
    <w:p>
      <w:pPr>
        <w:ind w:left="244" w:right="20" w:hanging="244"/>
        <w:spacing w:after="0" w:line="229" w:lineRule="auto"/>
        <w:tabs>
          <w:tab w:leader="none" w:pos="244"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Represents of (i) 661,510 shares of Class A common stock held of record by The Founders Fund V Entrepreneurs Fund, LP (FF-VE), (ii) 12,572,820 shares of Class A common stock held of record by The Founders Fund V Principals Fund, LP (FF-VP), (iii) 46,739,070 shares of Class A common stock held of record by The Founders Fund V, LP (FF-V), and (iv) 702,540 shares of Class B common stock and 1,801,180 shares of Class A common stock held of record by FF Wish VI, LLC (FF-Wish). Peter Thiel and Brian Singerman have shared voting and investment power over the shares held by each of FF-VE, FF-VP and FFV. Peter Thiel, Brian Singerman and Keith Rabois have shared voting and investment power over the shares held by FF-Wish. The address of each of the entities identified in this footnote is One Letterman Drive, Building D, 5th Floor, San Francisco, California 94129.</w:t>
      </w:r>
    </w:p>
    <w:p>
      <w:pPr>
        <w:spacing w:after="0" w:line="6" w:lineRule="exact"/>
        <w:rPr>
          <w:rFonts w:ascii="Arial" w:cs="Arial" w:eastAsia="Arial" w:hAnsi="Arial"/>
          <w:sz w:val="20"/>
          <w:szCs w:val="20"/>
          <w:color w:val="auto"/>
          <w:vertAlign w:val="superscript"/>
        </w:rPr>
      </w:pPr>
    </w:p>
    <w:p>
      <w:pPr>
        <w:ind w:left="244" w:hanging="244"/>
        <w:spacing w:after="0" w:line="229" w:lineRule="auto"/>
        <w:tabs>
          <w:tab w:leader="none" w:pos="244"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Represents (i) 56,407,496 shares of Class A common stock, 5,800,630 shares of Class B common stock held by Formation8 Partners Fund I, L.P., (ii) 5,399,550 shares of Class A common stock held by F8 StarLight SPV, L.P., and (iii) 1,579,080 shares of Class A common stock held by F8 StarLight SPV II, L.P. We refer to the entities listed above as the Formation8 Entities. Formation8 GP, LLC has sole voting and dispositive power with regard to the shares held by the Formation8 Entities. The managing members of Formation8 GP, LLC are James Kim, Brian Koo and Joe Lonsdale. The managing members of Formation8 GP, LLC disclaim beneficial ownership of the shares held by the Formation8 Entities except to the extent of their pecuniary interests therein. The address for the Formation8 entities is 4962 El Camino Real, Suite 212, Los Altos, CA 94022. Please see footnote (6) above for a description of proxies entered into by certain of the funds listed herein.</w:t>
      </w:r>
    </w:p>
    <w:p>
      <w:pPr>
        <w:spacing w:after="0" w:line="19" w:lineRule="exact"/>
        <w:rPr>
          <w:rFonts w:ascii="Arial" w:cs="Arial" w:eastAsia="Arial" w:hAnsi="Arial"/>
          <w:sz w:val="20"/>
          <w:szCs w:val="20"/>
          <w:color w:val="auto"/>
          <w:vertAlign w:val="superscript"/>
        </w:rPr>
      </w:pPr>
    </w:p>
    <w:p>
      <w:pPr>
        <w:ind w:left="244" w:hanging="244"/>
        <w:spacing w:after="0" w:line="231" w:lineRule="auto"/>
        <w:tabs>
          <w:tab w:leader="none" w:pos="244"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Consists of (i) 556,140 shares of Class A common stock and 97,520 shares of Class B common stock held by GGV Capital IV Entrepreneurs Fund L.P., (ii) 26,229,210 shares of Class A common stock and 4,599,080 shares of Class B common stock held by GGV Capital IV L.P., and (iii) 6,555,290 shares of Class A common stock held by GGV Capital Select L.P. GGV Capital IV L.L.C. is the general partner of GGV Capital IV Entrepreneurs Fund L.P. and GGV Capital IV L.P. GGV Capital Select L.L.C. is the general partner of GGV Capital Select L.P. There are five Managing Directors with shared voting and investment power in GGV Capital IV L.L.C. and GGV Capital Select L.L.C. The address for each of the foregoing entities is c/o GGV Capital, 3000 Sand Hill Road, Building 4, Suite 230, Menlo Park, California 94025. 4,696,600 shares of our Class B common stock held by GGV Capital IV L.P. and GGV Capital IV Entrepreneurs Fund L.P., collectively, are subject to a proxy in favor of Mr. Szulczewski referred to in footnote (3) above.</w:t>
      </w:r>
    </w:p>
    <w:p>
      <w:pPr>
        <w:spacing w:after="0" w:line="3" w:lineRule="exact"/>
        <w:rPr>
          <w:rFonts w:ascii="Arial" w:cs="Arial" w:eastAsia="Arial" w:hAnsi="Arial"/>
          <w:sz w:val="20"/>
          <w:szCs w:val="20"/>
          <w:color w:val="auto"/>
          <w:vertAlign w:val="superscript"/>
        </w:rPr>
      </w:pPr>
    </w:p>
    <w:p>
      <w:pPr>
        <w:ind w:left="244" w:right="60" w:hanging="244"/>
        <w:spacing w:after="0" w:line="229" w:lineRule="auto"/>
        <w:tabs>
          <w:tab w:leader="none" w:pos="244"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Represents 26,834,880 shares of Class A common stock held by Republic Technologies Pte. Ltd. (“Republic Technologies”). Republic Technologies is a direct wholly-owned subsidiary of Seletar Investments Pte. Ltd. (“Seletar”), which in turn is a direct wholly-owned subsidiary of Temasek Capital (Private) Limited (“Temasek Capital”), which in turn is a direct wholly-owned subsidiary of Temasek Holdings (Private) Limited (“Temasek Holdings”), the ultimate beneficial holder, Temasek Holdings is wholly-owned by the Singapore Minister for Finance. Under the Singapore Minister for Finance (Incorporation) Act (Chapter 183), the Minister for Finance is a body corporate. In such capacities, each of Seletar, Temasek Capital, and Temasek Holdings may be deemed to have voting and dispositive power over the shares held by Republic Technologies. The address for these entities is 60B Orchard Road, 306-18 Tower 2, TheAtrium@Orchard, Singapore 233891.</w:t>
      </w:r>
    </w:p>
    <w:p>
      <w:pPr>
        <w:spacing w:after="0" w:line="6" w:lineRule="exact"/>
        <w:rPr>
          <w:rFonts w:ascii="Arial" w:cs="Arial" w:eastAsia="Arial" w:hAnsi="Arial"/>
          <w:sz w:val="20"/>
          <w:szCs w:val="20"/>
          <w:color w:val="auto"/>
          <w:vertAlign w:val="superscript"/>
        </w:rPr>
      </w:pPr>
    </w:p>
    <w:p>
      <w:pPr>
        <w:ind w:left="244" w:right="20" w:hanging="244"/>
        <w:spacing w:after="0" w:line="286" w:lineRule="auto"/>
        <w:tabs>
          <w:tab w:leader="none" w:pos="244"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Consists of (i) 3,563,456 shares of Class B common stock held by Mr. Zhang, (ii) 19,920,260 shares of Class B common stock issuable upon exercise of options within 60 days of April 15, 2021, (ii) 177,431 shares of Class B common stock issuable upon vesting and settlement of restricted stock units exercisable within 60 days of April 15, 2021, and (iii) 821,030 shares of Class B common stock held by Sheng Zhang, trustee of the ZLZ Trust. Mr. Zhang also holds 94,164 restricted stock units which are subject to vesting conditions not expected to occur within 60 days of April 15, 2021.</w:t>
      </w:r>
    </w:p>
    <w:p>
      <w:pPr>
        <w:spacing w:after="0" w:line="158" w:lineRule="exact"/>
        <w:rPr>
          <w:sz w:val="20"/>
          <w:szCs w:val="20"/>
          <w:color w:val="auto"/>
        </w:rPr>
      </w:pPr>
    </w:p>
    <w:p>
      <w:pPr>
        <w:ind w:left="524" w:hanging="524"/>
        <w:spacing w:after="0"/>
        <w:tabs>
          <w:tab w:leader="none" w:pos="524" w:val="left"/>
        </w:tabs>
        <w:numPr>
          <w:ilvl w:val="0"/>
          <w:numId w:val="28"/>
        </w:numPr>
        <w:rPr>
          <w:rFonts w:ascii="Arial" w:cs="Arial" w:eastAsia="Arial" w:hAnsi="Arial"/>
          <w:sz w:val="14"/>
          <w:szCs w:val="14"/>
          <w:b w:val="1"/>
          <w:bCs w:val="1"/>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21" w:name="page22"/>
    <w:bookmarkEnd w:id="21"/>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79" w:lineRule="exact"/>
        <w:rPr>
          <w:sz w:val="20"/>
          <w:szCs w:val="20"/>
          <w:color w:val="auto"/>
        </w:rPr>
      </w:pPr>
    </w:p>
    <w:p>
      <w:pPr>
        <w:ind w:left="720"/>
        <w:spacing w:after="0"/>
        <w:rPr>
          <w:sz w:val="20"/>
          <w:szCs w:val="20"/>
          <w:color w:val="auto"/>
        </w:rPr>
      </w:pPr>
      <w:r>
        <w:rPr>
          <w:rFonts w:ascii="Arial" w:cs="Arial" w:eastAsia="Arial" w:hAnsi="Arial"/>
          <w:sz w:val="26"/>
          <w:szCs w:val="26"/>
          <w:color w:val="42B6E9"/>
        </w:rPr>
        <w:t>SECTION 16(a) BENEFICIAL OWNERSHIP REPORTING COMPLIANCE</w:t>
      </w:r>
    </w:p>
    <w:p>
      <w:pPr>
        <w:spacing w:after="0" w:line="115" w:lineRule="exact"/>
        <w:rPr>
          <w:sz w:val="20"/>
          <w:szCs w:val="20"/>
          <w:color w:val="auto"/>
        </w:rPr>
      </w:pPr>
    </w:p>
    <w:p>
      <w:pPr>
        <w:ind w:left="720" w:right="760" w:firstLine="360"/>
        <w:spacing w:after="0" w:line="253" w:lineRule="auto"/>
        <w:rPr>
          <w:sz w:val="20"/>
          <w:szCs w:val="20"/>
          <w:color w:val="auto"/>
        </w:rPr>
      </w:pPr>
      <w:r>
        <w:rPr>
          <w:rFonts w:ascii="Arial" w:cs="Arial" w:eastAsia="Arial" w:hAnsi="Arial"/>
          <w:sz w:val="16"/>
          <w:szCs w:val="16"/>
          <w:color w:val="auto"/>
        </w:rPr>
        <w:t>Section 16(a) of the Exchange Act requires our directors, executive officers, and holders of more than 10% of our common stock to file reports regarding their ownership and changes in ownership of our securities with the SEC, and to furnish us with copies of all Section 16(a) reports that they file.</w:t>
      </w:r>
    </w:p>
    <w:p>
      <w:pPr>
        <w:spacing w:after="0" w:line="93" w:lineRule="exact"/>
        <w:rPr>
          <w:sz w:val="20"/>
          <w:szCs w:val="20"/>
          <w:color w:val="auto"/>
        </w:rPr>
      </w:pPr>
    </w:p>
    <w:p>
      <w:pPr>
        <w:ind w:left="720" w:right="780" w:firstLine="360"/>
        <w:spacing w:after="0" w:line="251" w:lineRule="auto"/>
        <w:rPr>
          <w:sz w:val="20"/>
          <w:szCs w:val="20"/>
          <w:color w:val="auto"/>
        </w:rPr>
      </w:pPr>
      <w:r>
        <w:rPr>
          <w:rFonts w:ascii="Arial" w:cs="Arial" w:eastAsia="Arial" w:hAnsi="Arial"/>
          <w:sz w:val="16"/>
          <w:szCs w:val="16"/>
          <w:color w:val="auto"/>
        </w:rPr>
        <w:t>We believe that during the fiscal year ended December 31, 2020, our directors, executive officers, and stockholders who have greater than 10% ownership in the Company complied with all applicable Section 16(a) filing requirements. In making these statements, we have relied upon a review of the copies of Section 16(a) reports furnished to us and the written representations of our directors, executive officers, and stockholders who have greater than 10% ownership in the Company.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060"/>
              <w:spacing w:after="0"/>
              <w:rPr>
                <w:sz w:val="20"/>
                <w:szCs w:val="20"/>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17</w:t>
            </w:r>
          </w:p>
        </w:tc>
      </w:tr>
      <w:tr>
        <w:trPr>
          <w:trHeight w:val="168"/>
        </w:trPr>
        <w:tc>
          <w:tcPr>
            <w:tcW w:w="9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22" w:name="page23"/>
    <w:bookmarkEnd w:id="22"/>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right="2040"/>
        <w:spacing w:after="0" w:line="260" w:lineRule="auto"/>
        <w:rPr>
          <w:sz w:val="20"/>
          <w:szCs w:val="20"/>
          <w:color w:val="auto"/>
        </w:rPr>
      </w:pPr>
      <w:r>
        <w:rPr>
          <w:rFonts w:ascii="Arial" w:cs="Arial" w:eastAsia="Arial" w:hAnsi="Arial"/>
          <w:sz w:val="32"/>
          <w:szCs w:val="32"/>
          <w:color w:val="42B6E9"/>
        </w:rPr>
        <w:t>CERTAIN RELATIONSHIPS AND RELATED PARTY TRANSACTIONS</w:t>
      </w:r>
    </w:p>
    <w:p>
      <w:pPr>
        <w:spacing w:after="0" w:line="299" w:lineRule="exact"/>
        <w:rPr>
          <w:sz w:val="20"/>
          <w:szCs w:val="20"/>
          <w:color w:val="auto"/>
        </w:rPr>
      </w:pPr>
    </w:p>
    <w:p>
      <w:pPr>
        <w:ind w:left="4"/>
        <w:spacing w:after="0"/>
        <w:rPr>
          <w:sz w:val="20"/>
          <w:szCs w:val="20"/>
          <w:color w:val="auto"/>
        </w:rPr>
      </w:pPr>
      <w:r>
        <w:rPr>
          <w:rFonts w:ascii="Arial" w:cs="Arial" w:eastAsia="Arial" w:hAnsi="Arial"/>
          <w:sz w:val="26"/>
          <w:szCs w:val="26"/>
          <w:color w:val="42B6E9"/>
        </w:rPr>
        <w:t>Policies and Procedures for Related Party Transactions</w:t>
      </w:r>
    </w:p>
    <w:p>
      <w:pPr>
        <w:spacing w:after="0" w:line="169" w:lineRule="exact"/>
        <w:rPr>
          <w:sz w:val="20"/>
          <w:szCs w:val="20"/>
          <w:color w:val="auto"/>
        </w:rPr>
      </w:pPr>
    </w:p>
    <w:p>
      <w:pPr>
        <w:ind w:left="4" w:right="40"/>
        <w:spacing w:after="0" w:line="248" w:lineRule="auto"/>
        <w:rPr>
          <w:sz w:val="20"/>
          <w:szCs w:val="20"/>
          <w:color w:val="auto"/>
        </w:rPr>
      </w:pPr>
      <w:r>
        <w:rPr>
          <w:rFonts w:ascii="Arial" w:cs="Arial" w:eastAsia="Arial" w:hAnsi="Arial"/>
          <w:sz w:val="16"/>
          <w:szCs w:val="16"/>
          <w:color w:val="auto"/>
        </w:rPr>
        <w:t>As provided by our Audit Committee charter, our Audit Committee has the primary responsibility for the review, approval, and oversight of any “related person transaction,” which is any transaction, arrangement, or relationship (or series of similar transactions, arrangements, or relationships) in which we are, were, or will be a participant and the amount involved exceeds $120,000, and in which the related person had, has, or will have a direct or indirect material interest. Under our Related Person Transaction Policy, our management is required to submit any related person transaction not previously approved or ratified by our Audit Committee to our Audit Committee. In approving or rejecting the proposed transactions, our Audit Committee takes into account all of the relevant facts and circumstances available. Our Audit Committee will approve only those transactions that, as determined by our Audit Committee, are in, or are not inconsistent with, our best interests and the best interests of our stockholders.</w:t>
      </w:r>
    </w:p>
    <w:p>
      <w:pPr>
        <w:spacing w:after="0" w:line="360" w:lineRule="exact"/>
        <w:rPr>
          <w:sz w:val="20"/>
          <w:szCs w:val="20"/>
          <w:color w:val="auto"/>
        </w:rPr>
      </w:pPr>
    </w:p>
    <w:p>
      <w:pPr>
        <w:ind w:left="4"/>
        <w:spacing w:after="0"/>
        <w:rPr>
          <w:sz w:val="20"/>
          <w:szCs w:val="20"/>
          <w:color w:val="auto"/>
        </w:rPr>
      </w:pPr>
      <w:r>
        <w:rPr>
          <w:rFonts w:ascii="Arial" w:cs="Arial" w:eastAsia="Arial" w:hAnsi="Arial"/>
          <w:sz w:val="26"/>
          <w:szCs w:val="26"/>
          <w:color w:val="42B6E9"/>
        </w:rPr>
        <w:t>Related Party Transactions</w:t>
      </w:r>
    </w:p>
    <w:p>
      <w:pPr>
        <w:spacing w:after="0" w:line="169" w:lineRule="exact"/>
        <w:rPr>
          <w:sz w:val="20"/>
          <w:szCs w:val="20"/>
          <w:color w:val="auto"/>
        </w:rPr>
      </w:pPr>
    </w:p>
    <w:p>
      <w:pPr>
        <w:ind w:left="4" w:right="20"/>
        <w:spacing w:after="0" w:line="250" w:lineRule="auto"/>
        <w:rPr>
          <w:sz w:val="20"/>
          <w:szCs w:val="20"/>
          <w:color w:val="auto"/>
        </w:rPr>
      </w:pPr>
      <w:r>
        <w:rPr>
          <w:rFonts w:ascii="Arial" w:cs="Arial" w:eastAsia="Arial" w:hAnsi="Arial"/>
          <w:sz w:val="16"/>
          <w:szCs w:val="16"/>
          <w:color w:val="auto"/>
        </w:rPr>
        <w:t>In addition to the compensation arrangements with directors and named executive officers described elsewhere in this Proxy Statement, since January 1, 2020, we were involved in the following transactions in which we were or are a party involving an amount in excess of $120,000 and in which any director, executive officer, holder of more than 5% of our capital stock, or any member of the immediate family or person sharing the household with any of these individuals (other than tenants or employees), had or will have a direct or indirect material interest.</w:t>
      </w:r>
    </w:p>
    <w:p>
      <w:pPr>
        <w:spacing w:after="0" w:line="3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42B6E9"/>
        </w:rPr>
        <w:t>Amended and Restated First Refusal and Co-Sale Agreement</w:t>
      </w:r>
    </w:p>
    <w:p>
      <w:pPr>
        <w:spacing w:after="0" w:line="66" w:lineRule="exact"/>
        <w:rPr>
          <w:sz w:val="20"/>
          <w:szCs w:val="20"/>
          <w:color w:val="auto"/>
        </w:rPr>
      </w:pPr>
    </w:p>
    <w:p>
      <w:pPr>
        <w:ind w:left="4" w:right="20"/>
        <w:spacing w:after="0" w:line="250" w:lineRule="auto"/>
        <w:rPr>
          <w:sz w:val="20"/>
          <w:szCs w:val="20"/>
          <w:color w:val="auto"/>
        </w:rPr>
      </w:pPr>
      <w:r>
        <w:rPr>
          <w:rFonts w:ascii="Arial" w:cs="Arial" w:eastAsia="Arial" w:hAnsi="Arial"/>
          <w:sz w:val="16"/>
          <w:szCs w:val="16"/>
          <w:color w:val="auto"/>
        </w:rPr>
        <w:t>On August 25, 2020, we entered into an amended and restated first refusal and co-sale agreement with holders of our common stock and redeemable convertible preferred stock, including our Founder and Chief Executive Officer, holders of more than 5% of our capital stock, and entities with which certain of our directors are affiliated. This agreement provided the holders of redeemable convertible preferred stock a right of purchase and of co-sale in respect of sales of securities by certain holders of our common stock. The rights of purchase and co-sale terminated upon the completion of our initial public offering.</w:t>
      </w:r>
    </w:p>
    <w:p>
      <w:pPr>
        <w:spacing w:after="0" w:line="34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42B6E9"/>
        </w:rPr>
        <w:t>Indemnification Agreements</w:t>
      </w:r>
    </w:p>
    <w:p>
      <w:pPr>
        <w:spacing w:after="0" w:line="66" w:lineRule="exact"/>
        <w:rPr>
          <w:sz w:val="20"/>
          <w:szCs w:val="20"/>
          <w:color w:val="auto"/>
        </w:rPr>
      </w:pPr>
    </w:p>
    <w:p>
      <w:pPr>
        <w:ind w:left="4"/>
        <w:spacing w:after="0" w:line="253" w:lineRule="auto"/>
        <w:rPr>
          <w:sz w:val="20"/>
          <w:szCs w:val="20"/>
          <w:color w:val="auto"/>
        </w:rPr>
      </w:pPr>
      <w:r>
        <w:rPr>
          <w:rFonts w:ascii="Arial" w:cs="Arial" w:eastAsia="Arial" w:hAnsi="Arial"/>
          <w:sz w:val="16"/>
          <w:szCs w:val="16"/>
          <w:color w:val="auto"/>
        </w:rPr>
        <w:t>We have entered into an indemnification agreement with each of our directors and executive officers. The indemnification agreements and our Certificate of Incorporation and Bylaws require us to indemnify our directors and executive officers to the fullest extent permitted by Delaware law.</w:t>
      </w:r>
    </w:p>
    <w:p>
      <w:pPr>
        <w:spacing w:after="0" w:line="186" w:lineRule="exact"/>
        <w:rPr>
          <w:sz w:val="20"/>
          <w:szCs w:val="20"/>
          <w:color w:val="auto"/>
        </w:rPr>
      </w:pPr>
    </w:p>
    <w:p>
      <w:pPr>
        <w:ind w:left="524" w:hanging="524"/>
        <w:spacing w:after="0"/>
        <w:tabs>
          <w:tab w:leader="none" w:pos="524" w:val="left"/>
        </w:tabs>
        <w:numPr>
          <w:ilvl w:val="0"/>
          <w:numId w:val="29"/>
        </w:numPr>
        <w:rPr>
          <w:rFonts w:ascii="Arial" w:cs="Arial" w:eastAsia="Arial" w:hAnsi="Arial"/>
          <w:sz w:val="14"/>
          <w:szCs w:val="14"/>
          <w:b w:val="1"/>
          <w:bCs w:val="1"/>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23" w:name="page24"/>
    <w:bookmarkEnd w:id="23"/>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42B6E9"/>
        </w:rPr>
        <w:t>EXECUTIVE COMPENSATION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26"/>
          <w:szCs w:val="26"/>
          <w:color w:val="42B6E9"/>
        </w:rPr>
        <w:t>Compensation Discussion and Analysis</w:t>
      </w:r>
    </w:p>
    <w:p>
      <w:pPr>
        <w:spacing w:after="0" w:line="169" w:lineRule="exact"/>
        <w:rPr>
          <w:sz w:val="20"/>
          <w:szCs w:val="20"/>
          <w:color w:val="auto"/>
        </w:rPr>
      </w:pPr>
    </w:p>
    <w:p>
      <w:pPr>
        <w:jc w:val="both"/>
        <w:ind w:left="720" w:right="1020"/>
        <w:spacing w:after="0" w:line="253" w:lineRule="auto"/>
        <w:rPr>
          <w:sz w:val="20"/>
          <w:szCs w:val="20"/>
          <w:color w:val="auto"/>
        </w:rPr>
      </w:pPr>
      <w:r>
        <w:rPr>
          <w:rFonts w:ascii="Arial" w:cs="Arial" w:eastAsia="Arial" w:hAnsi="Arial"/>
          <w:sz w:val="16"/>
          <w:szCs w:val="16"/>
          <w:color w:val="auto"/>
        </w:rPr>
        <w:t>This Compensation Discussion and Analysis describes the compensation for our principal executive officer, our principal financial officer, and our three other most highly compensated executive officers who were serving as executive officers at the end of 2020, whom we refer to herein as our “named executive officers.” Our named executive officers for 2020 were:</w:t>
      </w:r>
    </w:p>
    <w:p>
      <w:pPr>
        <w:spacing w:after="0" w:line="147" w:lineRule="exact"/>
        <w:rPr>
          <w:sz w:val="20"/>
          <w:szCs w:val="20"/>
          <w:color w:val="auto"/>
        </w:rPr>
      </w:pPr>
    </w:p>
    <w:p>
      <w:pPr>
        <w:ind w:left="1360" w:hanging="284"/>
        <w:spacing w:after="0"/>
        <w:tabs>
          <w:tab w:leader="none" w:pos="1360" w:val="left"/>
        </w:tabs>
        <w:numPr>
          <w:ilvl w:val="0"/>
          <w:numId w:val="30"/>
        </w:numPr>
        <w:rPr>
          <w:rFonts w:ascii="Arial" w:cs="Arial" w:eastAsia="Arial" w:hAnsi="Arial"/>
          <w:sz w:val="16"/>
          <w:szCs w:val="16"/>
          <w:color w:val="42B6E9"/>
        </w:rPr>
      </w:pPr>
      <w:r>
        <w:rPr>
          <w:rFonts w:ascii="Arial" w:cs="Arial" w:eastAsia="Arial" w:hAnsi="Arial"/>
          <w:sz w:val="16"/>
          <w:szCs w:val="16"/>
          <w:color w:val="auto"/>
        </w:rPr>
        <w:t>Piotr Szulczewski, our Founder, CEO, and Chairperson of our Board of Directors;</w:t>
      </w:r>
    </w:p>
    <w:p>
      <w:pPr>
        <w:spacing w:after="0" w:line="167" w:lineRule="exact"/>
        <w:rPr>
          <w:rFonts w:ascii="Arial" w:cs="Arial" w:eastAsia="Arial" w:hAnsi="Arial"/>
          <w:sz w:val="16"/>
          <w:szCs w:val="16"/>
          <w:color w:val="42B6E9"/>
        </w:rPr>
      </w:pPr>
    </w:p>
    <w:p>
      <w:pPr>
        <w:ind w:left="1360" w:hanging="284"/>
        <w:spacing w:after="0"/>
        <w:tabs>
          <w:tab w:leader="none" w:pos="1360" w:val="left"/>
        </w:tabs>
        <w:numPr>
          <w:ilvl w:val="0"/>
          <w:numId w:val="30"/>
        </w:numPr>
        <w:rPr>
          <w:rFonts w:ascii="Arial" w:cs="Arial" w:eastAsia="Arial" w:hAnsi="Arial"/>
          <w:sz w:val="16"/>
          <w:szCs w:val="16"/>
          <w:color w:val="42B6E9"/>
        </w:rPr>
      </w:pPr>
      <w:r>
        <w:rPr>
          <w:rFonts w:ascii="Arial" w:cs="Arial" w:eastAsia="Arial" w:hAnsi="Arial"/>
          <w:sz w:val="16"/>
          <w:szCs w:val="16"/>
          <w:color w:val="auto"/>
        </w:rPr>
        <w:t>Rajat Bahri, our Chief Financial Officer;</w:t>
      </w:r>
    </w:p>
    <w:p>
      <w:pPr>
        <w:spacing w:after="0" w:line="167" w:lineRule="exact"/>
        <w:rPr>
          <w:rFonts w:ascii="Arial" w:cs="Arial" w:eastAsia="Arial" w:hAnsi="Arial"/>
          <w:sz w:val="16"/>
          <w:szCs w:val="16"/>
          <w:color w:val="42B6E9"/>
        </w:rPr>
      </w:pPr>
    </w:p>
    <w:p>
      <w:pPr>
        <w:ind w:left="1360" w:hanging="284"/>
        <w:spacing w:after="0"/>
        <w:tabs>
          <w:tab w:leader="none" w:pos="1360" w:val="left"/>
        </w:tabs>
        <w:numPr>
          <w:ilvl w:val="0"/>
          <w:numId w:val="30"/>
        </w:numPr>
        <w:rPr>
          <w:rFonts w:ascii="Arial" w:cs="Arial" w:eastAsia="Arial" w:hAnsi="Arial"/>
          <w:sz w:val="16"/>
          <w:szCs w:val="16"/>
          <w:color w:val="42B6E9"/>
        </w:rPr>
      </w:pPr>
      <w:r>
        <w:rPr>
          <w:rFonts w:ascii="Arial" w:cs="Arial" w:eastAsia="Arial" w:hAnsi="Arial"/>
          <w:sz w:val="16"/>
          <w:szCs w:val="16"/>
          <w:color w:val="auto"/>
        </w:rPr>
        <w:t>Devang Shah, our General Counsel and Secretary;</w:t>
      </w:r>
    </w:p>
    <w:p>
      <w:pPr>
        <w:spacing w:after="0" w:line="167" w:lineRule="exact"/>
        <w:rPr>
          <w:rFonts w:ascii="Arial" w:cs="Arial" w:eastAsia="Arial" w:hAnsi="Arial"/>
          <w:sz w:val="16"/>
          <w:szCs w:val="16"/>
          <w:color w:val="42B6E9"/>
        </w:rPr>
      </w:pPr>
    </w:p>
    <w:p>
      <w:pPr>
        <w:ind w:left="1360" w:hanging="284"/>
        <w:spacing w:after="0"/>
        <w:tabs>
          <w:tab w:leader="none" w:pos="1360" w:val="left"/>
        </w:tabs>
        <w:numPr>
          <w:ilvl w:val="0"/>
          <w:numId w:val="30"/>
        </w:numPr>
        <w:rPr>
          <w:rFonts w:ascii="Arial" w:cs="Arial" w:eastAsia="Arial" w:hAnsi="Arial"/>
          <w:sz w:val="16"/>
          <w:szCs w:val="16"/>
          <w:color w:val="42B6E9"/>
        </w:rPr>
      </w:pPr>
      <w:r>
        <w:rPr>
          <w:rFonts w:ascii="Arial" w:cs="Arial" w:eastAsia="Arial" w:hAnsi="Arial"/>
          <w:sz w:val="16"/>
          <w:szCs w:val="16"/>
          <w:color w:val="auto"/>
        </w:rPr>
        <w:t>Thomas Chuang, our Vice President of Operations; and</w:t>
      </w:r>
    </w:p>
    <w:p>
      <w:pPr>
        <w:spacing w:after="0" w:line="167" w:lineRule="exact"/>
        <w:rPr>
          <w:rFonts w:ascii="Arial" w:cs="Arial" w:eastAsia="Arial" w:hAnsi="Arial"/>
          <w:sz w:val="16"/>
          <w:szCs w:val="16"/>
          <w:color w:val="42B6E9"/>
        </w:rPr>
      </w:pPr>
    </w:p>
    <w:p>
      <w:pPr>
        <w:ind w:left="1360" w:hanging="284"/>
        <w:spacing w:after="0"/>
        <w:tabs>
          <w:tab w:leader="none" w:pos="1360" w:val="left"/>
        </w:tabs>
        <w:numPr>
          <w:ilvl w:val="0"/>
          <w:numId w:val="30"/>
        </w:numPr>
        <w:rPr>
          <w:rFonts w:ascii="Arial" w:cs="Arial" w:eastAsia="Arial" w:hAnsi="Arial"/>
          <w:sz w:val="16"/>
          <w:szCs w:val="16"/>
          <w:color w:val="42B6E9"/>
        </w:rPr>
      </w:pPr>
      <w:r>
        <w:rPr>
          <w:rFonts w:ascii="Arial" w:cs="Arial" w:eastAsia="Arial" w:hAnsi="Arial"/>
          <w:sz w:val="16"/>
          <w:szCs w:val="16"/>
          <w:color w:val="auto"/>
        </w:rPr>
        <w:t>Pai Liu, our Vice President of Data Science.</w:t>
      </w:r>
    </w:p>
    <w:p>
      <w:pPr>
        <w:spacing w:after="0" w:line="167" w:lineRule="exact"/>
        <w:rPr>
          <w:sz w:val="20"/>
          <w:szCs w:val="20"/>
          <w:color w:val="auto"/>
        </w:rPr>
      </w:pPr>
    </w:p>
    <w:p>
      <w:pPr>
        <w:ind w:left="720" w:right="840"/>
        <w:spacing w:after="0" w:line="260" w:lineRule="auto"/>
        <w:rPr>
          <w:sz w:val="20"/>
          <w:szCs w:val="20"/>
          <w:color w:val="auto"/>
        </w:rPr>
      </w:pPr>
      <w:r>
        <w:rPr>
          <w:rFonts w:ascii="Arial" w:cs="Arial" w:eastAsia="Arial" w:hAnsi="Arial"/>
          <w:sz w:val="16"/>
          <w:szCs w:val="16"/>
          <w:color w:val="auto"/>
        </w:rPr>
        <w:t>This Compensation Discussion and Analysis describes the material elements of our executive compensation program for our named executive officers during 2020 and discusses the key factors that were considered in determining their compensation.</w:t>
      </w:r>
    </w:p>
    <w:p>
      <w:pPr>
        <w:spacing w:after="0" w:line="243"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42B6E9"/>
        </w:rPr>
        <w:t>Compensation Philosophy and Design</w:t>
      </w:r>
    </w:p>
    <w:p>
      <w:pPr>
        <w:spacing w:after="0" w:line="52" w:lineRule="exact"/>
        <w:rPr>
          <w:sz w:val="20"/>
          <w:szCs w:val="20"/>
          <w:color w:val="auto"/>
        </w:rPr>
      </w:pPr>
    </w:p>
    <w:p>
      <w:pPr>
        <w:ind w:left="720" w:right="1000"/>
        <w:spacing w:after="0" w:line="251" w:lineRule="auto"/>
        <w:rPr>
          <w:sz w:val="20"/>
          <w:szCs w:val="20"/>
          <w:color w:val="auto"/>
        </w:rPr>
      </w:pPr>
      <w:r>
        <w:rPr>
          <w:rFonts w:ascii="Arial" w:cs="Arial" w:eastAsia="Arial" w:hAnsi="Arial"/>
          <w:sz w:val="16"/>
          <w:szCs w:val="16"/>
          <w:color w:val="auto"/>
        </w:rPr>
        <w:t>Our Company’s compensation program is designed to allow us to hire, retain, and motivate talented employees, who enable us to succeed in a rapidly evolving competitive environment and achieve our financial and strategic objectives. We expect our executive team to demonstrate strong leadership and management capabilities and to strengthen our culture, all of which are critical to our success.</w:t>
      </w:r>
    </w:p>
    <w:p>
      <w:pPr>
        <w:spacing w:after="0" w:line="148" w:lineRule="exact"/>
        <w:rPr>
          <w:sz w:val="20"/>
          <w:szCs w:val="20"/>
          <w:color w:val="auto"/>
        </w:rPr>
      </w:pPr>
    </w:p>
    <w:p>
      <w:pPr>
        <w:jc w:val="both"/>
        <w:ind w:left="720" w:right="1060"/>
        <w:spacing w:after="0" w:line="260" w:lineRule="auto"/>
        <w:rPr>
          <w:sz w:val="20"/>
          <w:szCs w:val="20"/>
          <w:color w:val="auto"/>
        </w:rPr>
      </w:pPr>
      <w:r>
        <w:rPr>
          <w:rFonts w:ascii="Arial" w:cs="Arial" w:eastAsia="Arial" w:hAnsi="Arial"/>
          <w:sz w:val="16"/>
          <w:szCs w:val="16"/>
          <w:color w:val="auto"/>
        </w:rPr>
        <w:t>Our executive compensation program is oriented towards our long-term retention and value creation objectives, and structured to ensure that a significant portion of an executive’s compensation opportunity is at risk and tied to the delivery of stockholder value.</w:t>
      </w:r>
    </w:p>
    <w:p>
      <w:pPr>
        <w:spacing w:after="0" w:line="141" w:lineRule="exact"/>
        <w:rPr>
          <w:sz w:val="20"/>
          <w:szCs w:val="20"/>
          <w:color w:val="auto"/>
        </w:rPr>
      </w:pPr>
    </w:p>
    <w:p>
      <w:pPr>
        <w:ind w:left="720" w:right="840"/>
        <w:spacing w:after="0" w:line="260" w:lineRule="auto"/>
        <w:rPr>
          <w:sz w:val="20"/>
          <w:szCs w:val="20"/>
          <w:color w:val="auto"/>
        </w:rPr>
      </w:pPr>
      <w:r>
        <w:rPr>
          <w:rFonts w:ascii="Arial" w:cs="Arial" w:eastAsia="Arial" w:hAnsi="Arial"/>
          <w:sz w:val="16"/>
          <w:szCs w:val="16"/>
          <w:color w:val="auto"/>
        </w:rPr>
        <w:t>Our executive compensation program is simple and easy to understand and administer. We avoid tying executive compensation to a limited number of prescribed short-term financial or strategic objectives. Instead, we strive to achieve the following objectives:</w:t>
      </w:r>
    </w:p>
    <w:p>
      <w:pPr>
        <w:spacing w:after="0" w:line="141" w:lineRule="exact"/>
        <w:rPr>
          <w:sz w:val="20"/>
          <w:szCs w:val="20"/>
          <w:color w:val="auto"/>
        </w:rPr>
      </w:pPr>
    </w:p>
    <w:p>
      <w:pPr>
        <w:ind w:left="1360" w:right="1160" w:hanging="284"/>
        <w:spacing w:after="0" w:line="260" w:lineRule="auto"/>
        <w:tabs>
          <w:tab w:leader="none" w:pos="1360" w:val="left"/>
        </w:tabs>
        <w:numPr>
          <w:ilvl w:val="0"/>
          <w:numId w:val="31"/>
        </w:numPr>
        <w:rPr>
          <w:rFonts w:ascii="Arial" w:cs="Arial" w:eastAsia="Arial" w:hAnsi="Arial"/>
          <w:sz w:val="16"/>
          <w:szCs w:val="16"/>
          <w:color w:val="42B6E9"/>
        </w:rPr>
      </w:pPr>
      <w:r>
        <w:rPr>
          <w:rFonts w:ascii="Arial" w:cs="Arial" w:eastAsia="Arial" w:hAnsi="Arial"/>
          <w:sz w:val="16"/>
          <w:szCs w:val="16"/>
          <w:color w:val="auto"/>
        </w:rPr>
        <w:t>Provide market-competitive compensation opportunities to hire, motivate, and retain high-performing executives whose experience, skills, and impact are critical to our success;</w:t>
      </w:r>
    </w:p>
    <w:p>
      <w:pPr>
        <w:spacing w:after="0" w:line="141" w:lineRule="exact"/>
        <w:rPr>
          <w:rFonts w:ascii="Arial" w:cs="Arial" w:eastAsia="Arial" w:hAnsi="Arial"/>
          <w:sz w:val="16"/>
          <w:szCs w:val="16"/>
          <w:color w:val="42B6E9"/>
        </w:rPr>
      </w:pPr>
    </w:p>
    <w:p>
      <w:pPr>
        <w:ind w:left="1360" w:right="840" w:hanging="284"/>
        <w:spacing w:after="0" w:line="260" w:lineRule="auto"/>
        <w:tabs>
          <w:tab w:leader="none" w:pos="1360" w:val="left"/>
        </w:tabs>
        <w:numPr>
          <w:ilvl w:val="0"/>
          <w:numId w:val="31"/>
        </w:numPr>
        <w:rPr>
          <w:rFonts w:ascii="Arial" w:cs="Arial" w:eastAsia="Arial" w:hAnsi="Arial"/>
          <w:sz w:val="16"/>
          <w:szCs w:val="16"/>
          <w:color w:val="42B6E9"/>
        </w:rPr>
      </w:pPr>
      <w:r>
        <w:rPr>
          <w:rFonts w:ascii="Arial" w:cs="Arial" w:eastAsia="Arial" w:hAnsi="Arial"/>
          <w:sz w:val="16"/>
          <w:szCs w:val="16"/>
          <w:color w:val="auto"/>
        </w:rPr>
        <w:t>Provide fixed cash compensation and long-term incentives that encourage appropriate levels of risk-taking by the executive team and align their interests with those of company stakeholders; and</w:t>
      </w:r>
    </w:p>
    <w:p>
      <w:pPr>
        <w:spacing w:after="0" w:line="141" w:lineRule="exact"/>
        <w:rPr>
          <w:rFonts w:ascii="Arial" w:cs="Arial" w:eastAsia="Arial" w:hAnsi="Arial"/>
          <w:sz w:val="16"/>
          <w:szCs w:val="16"/>
          <w:color w:val="42B6E9"/>
        </w:rPr>
      </w:pPr>
    </w:p>
    <w:p>
      <w:pPr>
        <w:ind w:left="1360" w:right="1540" w:hanging="284"/>
        <w:spacing w:after="0" w:line="260" w:lineRule="auto"/>
        <w:tabs>
          <w:tab w:leader="none" w:pos="1360" w:val="left"/>
        </w:tabs>
        <w:numPr>
          <w:ilvl w:val="0"/>
          <w:numId w:val="31"/>
        </w:numPr>
        <w:rPr>
          <w:rFonts w:ascii="Arial" w:cs="Arial" w:eastAsia="Arial" w:hAnsi="Arial"/>
          <w:sz w:val="16"/>
          <w:szCs w:val="16"/>
          <w:color w:val="42B6E9"/>
        </w:rPr>
      </w:pPr>
      <w:r>
        <w:rPr>
          <w:rFonts w:ascii="Arial" w:cs="Arial" w:eastAsia="Arial" w:hAnsi="Arial"/>
          <w:sz w:val="16"/>
          <w:szCs w:val="16"/>
          <w:color w:val="auto"/>
        </w:rPr>
        <w:t>Ensure that our compensation program is equitable for similarly-situated executives to drive collaboration towards achievement of our long-term business goals.</w:t>
      </w:r>
    </w:p>
    <w:p>
      <w:pPr>
        <w:spacing w:after="0" w:line="19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For executives other than our CEO, our compensation program has two basic components:</w:t>
      </w:r>
    </w:p>
    <w:p>
      <w:pPr>
        <w:spacing w:after="0" w:line="167" w:lineRule="exact"/>
        <w:rPr>
          <w:sz w:val="20"/>
          <w:szCs w:val="20"/>
          <w:color w:val="auto"/>
        </w:rPr>
      </w:pPr>
    </w:p>
    <w:p>
      <w:pPr>
        <w:ind w:left="1360" w:hanging="284"/>
        <w:spacing w:after="0"/>
        <w:tabs>
          <w:tab w:leader="none" w:pos="1360" w:val="left"/>
        </w:tabs>
        <w:numPr>
          <w:ilvl w:val="0"/>
          <w:numId w:val="32"/>
        </w:numPr>
        <w:rPr>
          <w:rFonts w:ascii="Arial" w:cs="Arial" w:eastAsia="Arial" w:hAnsi="Arial"/>
          <w:sz w:val="16"/>
          <w:szCs w:val="16"/>
          <w:color w:val="42B6E9"/>
        </w:rPr>
      </w:pPr>
      <w:r>
        <w:rPr>
          <w:rFonts w:ascii="Arial" w:cs="Arial" w:eastAsia="Arial" w:hAnsi="Arial"/>
          <w:sz w:val="16"/>
          <w:szCs w:val="16"/>
          <w:color w:val="auto"/>
        </w:rPr>
        <w:t>Base salaries; and</w:t>
      </w:r>
    </w:p>
    <w:p>
      <w:pPr>
        <w:spacing w:after="0" w:line="167" w:lineRule="exact"/>
        <w:rPr>
          <w:rFonts w:ascii="Arial" w:cs="Arial" w:eastAsia="Arial" w:hAnsi="Arial"/>
          <w:sz w:val="16"/>
          <w:szCs w:val="16"/>
          <w:color w:val="42B6E9"/>
        </w:rPr>
      </w:pPr>
    </w:p>
    <w:p>
      <w:pPr>
        <w:ind w:left="1360" w:hanging="284"/>
        <w:spacing w:after="0"/>
        <w:tabs>
          <w:tab w:leader="none" w:pos="1360" w:val="left"/>
        </w:tabs>
        <w:numPr>
          <w:ilvl w:val="0"/>
          <w:numId w:val="32"/>
        </w:numPr>
        <w:rPr>
          <w:rFonts w:ascii="Arial" w:cs="Arial" w:eastAsia="Arial" w:hAnsi="Arial"/>
          <w:sz w:val="16"/>
          <w:szCs w:val="16"/>
          <w:color w:val="42B6E9"/>
        </w:rPr>
      </w:pPr>
      <w:r>
        <w:rPr>
          <w:rFonts w:ascii="Arial" w:cs="Arial" w:eastAsia="Arial" w:hAnsi="Arial"/>
          <w:sz w:val="16"/>
          <w:szCs w:val="16"/>
          <w:color w:val="auto"/>
        </w:rPr>
        <w:t>Periodic grants of time-based restricted stock units (“RSUs”) with four-year vesting.</w:t>
      </w:r>
    </w:p>
    <w:p>
      <w:pPr>
        <w:spacing w:after="0" w:line="167" w:lineRule="exact"/>
        <w:rPr>
          <w:sz w:val="20"/>
          <w:szCs w:val="20"/>
          <w:color w:val="auto"/>
        </w:rPr>
      </w:pPr>
    </w:p>
    <w:p>
      <w:pPr>
        <w:ind w:left="720" w:right="860"/>
        <w:spacing w:after="0" w:line="248" w:lineRule="auto"/>
        <w:rPr>
          <w:sz w:val="20"/>
          <w:szCs w:val="20"/>
          <w:color w:val="auto"/>
        </w:rPr>
      </w:pPr>
      <w:r>
        <w:rPr>
          <w:rFonts w:ascii="Arial" w:cs="Arial" w:eastAsia="Arial" w:hAnsi="Arial"/>
          <w:sz w:val="16"/>
          <w:szCs w:val="16"/>
          <w:color w:val="auto"/>
        </w:rPr>
        <w:t>To focus our named executive officers on the fulfillment of our business objectives, a significant portion of their compensation is equity-based. We emphasize the use of equity compensation in the form of RSU awards to motivate our named executive officers to focus on the growth of our overall enterprise value and, correspondingly, to create sustainable long-term value for our stockholders. Our use of RSUs is also consistent with broad competitive market practices at comparable technology companies. We believe that having a substantial portion of our named executive officers’ compensation tied to RSUs aligns more closely with our business strategy to focus on long-term growth and innovation. We desire that our executives share in the risk and rewards of our long-term performance, similar to our stockholders.</w:t>
      </w:r>
    </w:p>
    <w:p>
      <w:pPr>
        <w:spacing w:after="0" w:line="154" w:lineRule="exact"/>
        <w:rPr>
          <w:sz w:val="20"/>
          <w:szCs w:val="20"/>
          <w:color w:val="auto"/>
        </w:rPr>
      </w:pPr>
    </w:p>
    <w:p>
      <w:pPr>
        <w:ind w:left="720" w:right="900"/>
        <w:spacing w:after="0" w:line="260" w:lineRule="auto"/>
        <w:rPr>
          <w:sz w:val="20"/>
          <w:szCs w:val="20"/>
          <w:color w:val="auto"/>
        </w:rPr>
      </w:pPr>
      <w:r>
        <w:rPr>
          <w:rFonts w:ascii="Arial" w:cs="Arial" w:eastAsia="Arial" w:hAnsi="Arial"/>
          <w:sz w:val="16"/>
          <w:szCs w:val="16"/>
          <w:color w:val="auto"/>
        </w:rPr>
        <w:t>For our CEO, we also utilize performance-based RSUs, which we believe provide even further retention and incentive objectives for him, as well as further aligns his interests with those of our stockholders.</w:t>
      </w:r>
    </w:p>
    <w:p>
      <w:pPr>
        <w:spacing w:after="0" w:line="141" w:lineRule="exact"/>
        <w:rPr>
          <w:sz w:val="20"/>
          <w:szCs w:val="20"/>
          <w:color w:val="auto"/>
        </w:rPr>
      </w:pPr>
    </w:p>
    <w:p>
      <w:pPr>
        <w:ind w:left="720" w:right="820"/>
        <w:spacing w:after="0" w:line="260" w:lineRule="auto"/>
        <w:rPr>
          <w:sz w:val="20"/>
          <w:szCs w:val="20"/>
          <w:color w:val="auto"/>
        </w:rPr>
      </w:pPr>
      <w:r>
        <w:rPr>
          <w:rFonts w:ascii="Arial" w:cs="Arial" w:eastAsia="Arial" w:hAnsi="Arial"/>
          <w:sz w:val="16"/>
          <w:szCs w:val="16"/>
          <w:color w:val="auto"/>
        </w:rPr>
        <w:t>In addition, to maintain a competitive compensation program, we also offer cash compensation in the form of base salaries to reward individual contributions and to compensate our executives for their day-to-day responsibilities. Currently, we do not provide any form</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060"/>
              <w:spacing w:after="0"/>
              <w:rPr>
                <w:sz w:val="20"/>
                <w:szCs w:val="20"/>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19</w:t>
            </w:r>
          </w:p>
        </w:tc>
      </w:tr>
      <w:tr>
        <w:trPr>
          <w:trHeight w:val="181"/>
        </w:trPr>
        <w:tc>
          <w:tcPr>
            <w:tcW w:w="99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24" w:name="page25"/>
    <w:bookmarkEnd w:id="24"/>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42B6E9"/>
        </w:rPr>
        <w:t>EXECUTIVE COMPENSATION (continued)</w:t>
      </w:r>
    </w:p>
    <w:p>
      <w:pPr>
        <w:spacing w:after="0" w:line="386" w:lineRule="exact"/>
        <w:rPr>
          <w:sz w:val="20"/>
          <w:szCs w:val="20"/>
          <w:color w:val="auto"/>
        </w:rPr>
      </w:pPr>
    </w:p>
    <w:p>
      <w:pPr>
        <w:jc w:val="both"/>
        <w:ind w:left="4" w:right="160"/>
        <w:spacing w:after="0" w:line="253" w:lineRule="auto"/>
        <w:rPr>
          <w:sz w:val="20"/>
          <w:szCs w:val="20"/>
          <w:color w:val="auto"/>
        </w:rPr>
      </w:pPr>
      <w:r>
        <w:rPr>
          <w:rFonts w:ascii="Arial" w:cs="Arial" w:eastAsia="Arial" w:hAnsi="Arial"/>
          <w:sz w:val="16"/>
          <w:szCs w:val="16"/>
          <w:color w:val="auto"/>
        </w:rPr>
        <w:t>of short-term incentive to our named executive officers. We expect our named executive officers to perform at a level deserving of a bonus, however, and have taken this into consideration along with our ongoing corporate financial performance in establishing their current total direct compensation opportunities.</w:t>
      </w:r>
    </w:p>
    <w:p>
      <w:pPr>
        <w:spacing w:after="0" w:line="147" w:lineRule="exact"/>
        <w:rPr>
          <w:sz w:val="20"/>
          <w:szCs w:val="20"/>
          <w:color w:val="auto"/>
        </w:rPr>
      </w:pPr>
    </w:p>
    <w:p>
      <w:pPr>
        <w:ind w:left="4" w:right="60"/>
        <w:spacing w:after="0" w:line="253" w:lineRule="auto"/>
        <w:rPr>
          <w:sz w:val="20"/>
          <w:szCs w:val="20"/>
          <w:color w:val="auto"/>
        </w:rPr>
      </w:pPr>
      <w:r>
        <w:rPr>
          <w:rFonts w:ascii="Arial" w:cs="Arial" w:eastAsia="Arial" w:hAnsi="Arial"/>
          <w:sz w:val="16"/>
          <w:szCs w:val="16"/>
          <w:color w:val="auto"/>
        </w:rPr>
        <w:t>Our Compensation Committee evaluates our compensation practices on an ongoing basis to determine whether they are appropriate to hire, retain, and reward outstanding performers. Such evaluations, along with our ongoing outreach with key company investors, may result in refinements to the compensation program, including changes in how compensation is determined and awarded.</w:t>
      </w:r>
    </w:p>
    <w:p>
      <w:pPr>
        <w:spacing w:after="0" w:line="20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42B6E9"/>
        </w:rPr>
        <w:t>Compensation-Setting Process</w:t>
      </w:r>
    </w:p>
    <w:p>
      <w:pPr>
        <w:spacing w:after="0" w:line="66" w:lineRule="exact"/>
        <w:rPr>
          <w:sz w:val="20"/>
          <w:szCs w:val="20"/>
          <w:color w:val="auto"/>
        </w:rPr>
      </w:pPr>
    </w:p>
    <w:p>
      <w:pPr>
        <w:ind w:left="4" w:right="120"/>
        <w:spacing w:after="0" w:line="260" w:lineRule="auto"/>
        <w:rPr>
          <w:sz w:val="20"/>
          <w:szCs w:val="20"/>
          <w:color w:val="auto"/>
        </w:rPr>
      </w:pPr>
      <w:r>
        <w:rPr>
          <w:rFonts w:ascii="Arial" w:cs="Arial" w:eastAsia="Arial" w:hAnsi="Arial"/>
          <w:sz w:val="16"/>
          <w:szCs w:val="16"/>
          <w:color w:val="auto"/>
        </w:rPr>
        <w:t>During 2020, our CEO, our Board of Directors, and our Compensation Committee were involved in determining the compensation of our named executive officers.</w:t>
      </w:r>
    </w:p>
    <w:p>
      <w:pPr>
        <w:spacing w:after="0" w:line="141" w:lineRule="exact"/>
        <w:rPr>
          <w:sz w:val="20"/>
          <w:szCs w:val="20"/>
          <w:color w:val="auto"/>
        </w:rPr>
      </w:pPr>
    </w:p>
    <w:p>
      <w:pPr>
        <w:ind w:left="4" w:right="20"/>
        <w:spacing w:after="0" w:line="251" w:lineRule="auto"/>
        <w:rPr>
          <w:sz w:val="20"/>
          <w:szCs w:val="20"/>
          <w:color w:val="auto"/>
        </w:rPr>
      </w:pPr>
      <w:r>
        <w:rPr>
          <w:rFonts w:ascii="Arial" w:cs="Arial" w:eastAsia="Arial" w:hAnsi="Arial"/>
          <w:sz w:val="16"/>
          <w:szCs w:val="16"/>
          <w:color w:val="auto"/>
        </w:rPr>
        <w:t>Prior to our initial public offering in December 2020, our Compensation Committee was comprised of three independent directors who were delegated responsibility for overseeing our executive compensation program, with specific authority to review and recommend to our Board of Directors the compensation payable to our CEO and executive vice presidents, including the adjustment of base salaries each year and all bonus and other incentive compensation programs for such executives.</w:t>
      </w:r>
    </w:p>
    <w:p>
      <w:pPr>
        <w:spacing w:after="0" w:line="148" w:lineRule="exact"/>
        <w:rPr>
          <w:sz w:val="20"/>
          <w:szCs w:val="20"/>
          <w:color w:val="auto"/>
        </w:rPr>
      </w:pPr>
    </w:p>
    <w:p>
      <w:pPr>
        <w:ind w:left="4"/>
        <w:spacing w:after="0" w:line="248" w:lineRule="auto"/>
        <w:rPr>
          <w:sz w:val="20"/>
          <w:szCs w:val="20"/>
          <w:color w:val="auto"/>
        </w:rPr>
      </w:pPr>
      <w:r>
        <w:rPr>
          <w:rFonts w:ascii="Arial" w:cs="Arial" w:eastAsia="Arial" w:hAnsi="Arial"/>
          <w:sz w:val="16"/>
          <w:szCs w:val="16"/>
          <w:color w:val="auto"/>
        </w:rPr>
        <w:t>Going forward, the Compensation Committee will be responsible for our executive compensation program, including establishing our executive compensation philosophy, policies, and practices, and determining the specific compensation, including cash and equity, for our named executive officers. The members of the Compensation Committee periodically discuss our overall executive compensation philosophy and review quantitative competitive market compensation perspectives (with the assistance of its external consultants and advisors) along with applicable qualitative factors relevant to compensation-decision making including company and executive performance. We expect that the Compensation Committee will continue to review, evaluate, and modify the executive compensation framework as a result of our becoming a publicly-traded company. Consequently, our compensation program may, over time, vary from our historical practices.</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42B6E9"/>
        </w:rPr>
        <w:t>Independent Compensation Consultant and Peer Group</w:t>
      </w:r>
    </w:p>
    <w:p>
      <w:pPr>
        <w:spacing w:after="0" w:line="52" w:lineRule="exact"/>
        <w:rPr>
          <w:sz w:val="20"/>
          <w:szCs w:val="20"/>
          <w:color w:val="auto"/>
        </w:rPr>
      </w:pPr>
    </w:p>
    <w:p>
      <w:pPr>
        <w:ind w:left="4" w:right="200"/>
        <w:spacing w:after="0" w:line="250" w:lineRule="auto"/>
        <w:rPr>
          <w:sz w:val="20"/>
          <w:szCs w:val="20"/>
          <w:color w:val="auto"/>
        </w:rPr>
      </w:pPr>
      <w:r>
        <w:rPr>
          <w:rFonts w:ascii="Arial" w:cs="Arial" w:eastAsia="Arial" w:hAnsi="Arial"/>
          <w:sz w:val="16"/>
          <w:szCs w:val="16"/>
          <w:color w:val="auto"/>
        </w:rPr>
        <w:t>Our Compensation Committee has the authority to engage the services of outside consultants and advisors to assist it in making decisions regarding our executive compensation program. Compensia, a national compensation consulting firm, was originally retained by us to provide executive compensation advisory services in May 2019, and was subsequently retained by our Compensation Committee in August 2020. The advisory services Compensia provides to the Compensation Committee include the following:</w:t>
      </w:r>
    </w:p>
    <w:p>
      <w:pPr>
        <w:spacing w:after="0" w:line="149" w:lineRule="exact"/>
        <w:rPr>
          <w:sz w:val="20"/>
          <w:szCs w:val="20"/>
          <w:color w:val="auto"/>
        </w:rPr>
      </w:pPr>
    </w:p>
    <w:p>
      <w:pPr>
        <w:ind w:left="644" w:right="860" w:hanging="284"/>
        <w:spacing w:after="0" w:line="260" w:lineRule="auto"/>
        <w:tabs>
          <w:tab w:leader="none" w:pos="644" w:val="left"/>
        </w:tabs>
        <w:numPr>
          <w:ilvl w:val="0"/>
          <w:numId w:val="33"/>
        </w:numPr>
        <w:rPr>
          <w:rFonts w:ascii="Arial" w:cs="Arial" w:eastAsia="Arial" w:hAnsi="Arial"/>
          <w:sz w:val="16"/>
          <w:szCs w:val="16"/>
          <w:color w:val="42B6E9"/>
        </w:rPr>
      </w:pPr>
      <w:r>
        <w:rPr>
          <w:rFonts w:ascii="Arial" w:cs="Arial" w:eastAsia="Arial" w:hAnsi="Arial"/>
          <w:sz w:val="16"/>
          <w:szCs w:val="16"/>
          <w:color w:val="auto"/>
        </w:rPr>
        <w:t>development and continued review of a compensation peer group for purposes of conducting competitive market assessments;</w:t>
      </w:r>
    </w:p>
    <w:p>
      <w:pPr>
        <w:spacing w:after="0" w:line="141" w:lineRule="exact"/>
        <w:rPr>
          <w:rFonts w:ascii="Arial" w:cs="Arial" w:eastAsia="Arial" w:hAnsi="Arial"/>
          <w:sz w:val="16"/>
          <w:szCs w:val="16"/>
          <w:color w:val="42B6E9"/>
        </w:rPr>
      </w:pPr>
    </w:p>
    <w:p>
      <w:pPr>
        <w:ind w:left="644" w:hanging="284"/>
        <w:spacing w:after="0"/>
        <w:tabs>
          <w:tab w:leader="none" w:pos="644" w:val="left"/>
        </w:tabs>
        <w:numPr>
          <w:ilvl w:val="0"/>
          <w:numId w:val="33"/>
        </w:numPr>
        <w:rPr>
          <w:rFonts w:ascii="Arial" w:cs="Arial" w:eastAsia="Arial" w:hAnsi="Arial"/>
          <w:sz w:val="16"/>
          <w:szCs w:val="16"/>
          <w:color w:val="42B6E9"/>
        </w:rPr>
      </w:pPr>
      <w:r>
        <w:rPr>
          <w:rFonts w:ascii="Arial" w:cs="Arial" w:eastAsia="Arial" w:hAnsi="Arial"/>
          <w:sz w:val="16"/>
          <w:szCs w:val="16"/>
          <w:color w:val="auto"/>
        </w:rPr>
        <w:t>analysis of our executive officers’ base salaries and equity compensation levels and plan structures;</w:t>
      </w:r>
    </w:p>
    <w:p>
      <w:pPr>
        <w:spacing w:after="0" w:line="167" w:lineRule="exact"/>
        <w:rPr>
          <w:rFonts w:ascii="Arial" w:cs="Arial" w:eastAsia="Arial" w:hAnsi="Arial"/>
          <w:sz w:val="16"/>
          <w:szCs w:val="16"/>
          <w:color w:val="42B6E9"/>
        </w:rPr>
      </w:pPr>
    </w:p>
    <w:p>
      <w:pPr>
        <w:ind w:left="644" w:right="680" w:hanging="284"/>
        <w:spacing w:after="0" w:line="260" w:lineRule="auto"/>
        <w:tabs>
          <w:tab w:leader="none" w:pos="644" w:val="left"/>
        </w:tabs>
        <w:numPr>
          <w:ilvl w:val="0"/>
          <w:numId w:val="33"/>
        </w:numPr>
        <w:rPr>
          <w:rFonts w:ascii="Arial" w:cs="Arial" w:eastAsia="Arial" w:hAnsi="Arial"/>
          <w:sz w:val="16"/>
          <w:szCs w:val="16"/>
          <w:color w:val="42B6E9"/>
        </w:rPr>
      </w:pPr>
      <w:r>
        <w:rPr>
          <w:rFonts w:ascii="Arial" w:cs="Arial" w:eastAsia="Arial" w:hAnsi="Arial"/>
          <w:sz w:val="16"/>
          <w:szCs w:val="16"/>
          <w:color w:val="auto"/>
        </w:rPr>
        <w:t>assistance with our equity compensation strategy, including the development of award guidelines and an aggregate spending budget; and</w:t>
      </w:r>
    </w:p>
    <w:p>
      <w:pPr>
        <w:spacing w:after="0" w:line="141" w:lineRule="exact"/>
        <w:rPr>
          <w:rFonts w:ascii="Arial" w:cs="Arial" w:eastAsia="Arial" w:hAnsi="Arial"/>
          <w:sz w:val="16"/>
          <w:szCs w:val="16"/>
          <w:color w:val="42B6E9"/>
        </w:rPr>
      </w:pPr>
    </w:p>
    <w:p>
      <w:pPr>
        <w:ind w:left="644" w:hanging="284"/>
        <w:spacing w:after="0"/>
        <w:tabs>
          <w:tab w:leader="none" w:pos="644" w:val="left"/>
        </w:tabs>
        <w:numPr>
          <w:ilvl w:val="0"/>
          <w:numId w:val="33"/>
        </w:numPr>
        <w:rPr>
          <w:rFonts w:ascii="Arial" w:cs="Arial" w:eastAsia="Arial" w:hAnsi="Arial"/>
          <w:sz w:val="16"/>
          <w:szCs w:val="16"/>
          <w:color w:val="42B6E9"/>
        </w:rPr>
      </w:pPr>
      <w:r>
        <w:rPr>
          <w:rFonts w:ascii="Arial" w:cs="Arial" w:eastAsia="Arial" w:hAnsi="Arial"/>
          <w:sz w:val="16"/>
          <w:szCs w:val="16"/>
          <w:color w:val="auto"/>
        </w:rPr>
        <w:t>review of considerations and market practices related to short-term cash incentive plans.</w:t>
      </w:r>
    </w:p>
    <w:p>
      <w:pPr>
        <w:spacing w:after="0" w:line="167" w:lineRule="exact"/>
        <w:rPr>
          <w:sz w:val="20"/>
          <w:szCs w:val="20"/>
          <w:color w:val="auto"/>
        </w:rPr>
      </w:pPr>
    </w:p>
    <w:p>
      <w:pPr>
        <w:ind w:left="4" w:right="160"/>
        <w:spacing w:after="0" w:line="260" w:lineRule="auto"/>
        <w:rPr>
          <w:sz w:val="20"/>
          <w:szCs w:val="20"/>
          <w:color w:val="auto"/>
        </w:rPr>
      </w:pPr>
      <w:r>
        <w:rPr>
          <w:rFonts w:ascii="Arial" w:cs="Arial" w:eastAsia="Arial" w:hAnsi="Arial"/>
          <w:sz w:val="16"/>
          <w:szCs w:val="16"/>
          <w:color w:val="auto"/>
        </w:rPr>
        <w:t>Our Compensation Committee has assessed the independence of Compensia pursuant to SEC rules and Nasdaq listing standards, and concluded that no conflict of interest exists that would prevent Compensia from independently representing it.</w:t>
      </w:r>
    </w:p>
    <w:p>
      <w:pPr>
        <w:spacing w:after="0" w:line="141" w:lineRule="exact"/>
        <w:rPr>
          <w:sz w:val="20"/>
          <w:szCs w:val="20"/>
          <w:color w:val="auto"/>
        </w:rPr>
      </w:pPr>
    </w:p>
    <w:p>
      <w:pPr>
        <w:ind w:left="4"/>
        <w:spacing w:after="0" w:line="250" w:lineRule="auto"/>
        <w:rPr>
          <w:sz w:val="20"/>
          <w:szCs w:val="20"/>
          <w:color w:val="auto"/>
        </w:rPr>
      </w:pPr>
      <w:r>
        <w:rPr>
          <w:rFonts w:ascii="Arial" w:cs="Arial" w:eastAsia="Arial" w:hAnsi="Arial"/>
          <w:sz w:val="16"/>
          <w:szCs w:val="16"/>
          <w:color w:val="auto"/>
        </w:rPr>
        <w:t>To assist our Compensation Committee in evaluating the different components of compensation to be paid to our named executive officers, our Compensation Committee relies on compensation data from a group of peer companies developed with the assistance of Compensia. In July 2020, our Compensation Committee determined the companies that would constitute our peer group for compensation decisions in the second half of 2020 in connection with our initial public offering. Compensia identified potential peer companies using the following criteria:</w:t>
      </w:r>
    </w:p>
    <w:p>
      <w:pPr>
        <w:spacing w:after="0" w:line="133" w:lineRule="exact"/>
        <w:rPr>
          <w:sz w:val="20"/>
          <w:szCs w:val="20"/>
          <w:color w:val="auto"/>
        </w:rPr>
      </w:pPr>
    </w:p>
    <w:p>
      <w:pPr>
        <w:ind w:left="644" w:hanging="284"/>
        <w:spacing w:after="0"/>
        <w:tabs>
          <w:tab w:leader="none" w:pos="644" w:val="left"/>
        </w:tabs>
        <w:numPr>
          <w:ilvl w:val="0"/>
          <w:numId w:val="34"/>
        </w:numPr>
        <w:rPr>
          <w:rFonts w:ascii="Arial" w:cs="Arial" w:eastAsia="Arial" w:hAnsi="Arial"/>
          <w:sz w:val="16"/>
          <w:szCs w:val="16"/>
          <w:color w:val="42B6E9"/>
        </w:rPr>
      </w:pPr>
      <w:r>
        <w:rPr>
          <w:rFonts w:ascii="Arial" w:cs="Arial" w:eastAsia="Arial" w:hAnsi="Arial"/>
          <w:sz w:val="16"/>
          <w:szCs w:val="16"/>
          <w:i w:val="1"/>
          <w:iCs w:val="1"/>
          <w:color w:val="auto"/>
        </w:rPr>
        <w:t>Location</w:t>
      </w:r>
      <w:r>
        <w:rPr>
          <w:rFonts w:ascii="Arial" w:cs="Arial" w:eastAsia="Arial" w:hAnsi="Arial"/>
          <w:sz w:val="16"/>
          <w:szCs w:val="16"/>
          <w:color w:val="auto"/>
        </w:rPr>
        <w:t>: Companies with headquarters in the U.S., with specific focus on companies located in the San Francisco Bay Area</w:t>
      </w:r>
    </w:p>
    <w:p>
      <w:pPr>
        <w:spacing w:after="0" w:line="167" w:lineRule="exact"/>
        <w:rPr>
          <w:rFonts w:ascii="Arial" w:cs="Arial" w:eastAsia="Arial" w:hAnsi="Arial"/>
          <w:sz w:val="16"/>
          <w:szCs w:val="16"/>
          <w:color w:val="42B6E9"/>
        </w:rPr>
      </w:pPr>
    </w:p>
    <w:p>
      <w:pPr>
        <w:ind w:left="644" w:right="200" w:hanging="284"/>
        <w:spacing w:after="0" w:line="281" w:lineRule="auto"/>
        <w:tabs>
          <w:tab w:leader="none" w:pos="644" w:val="left"/>
        </w:tabs>
        <w:numPr>
          <w:ilvl w:val="0"/>
          <w:numId w:val="34"/>
        </w:numPr>
        <w:rPr>
          <w:rFonts w:ascii="Arial" w:cs="Arial" w:eastAsia="Arial" w:hAnsi="Arial"/>
          <w:sz w:val="16"/>
          <w:szCs w:val="16"/>
          <w:color w:val="42B6E9"/>
        </w:rPr>
      </w:pPr>
      <w:r>
        <w:rPr>
          <w:rFonts w:ascii="Arial" w:cs="Arial" w:eastAsia="Arial" w:hAnsi="Arial"/>
          <w:sz w:val="16"/>
          <w:szCs w:val="16"/>
          <w:i w:val="1"/>
          <w:iCs w:val="1"/>
          <w:color w:val="auto"/>
        </w:rPr>
        <w:t>Industry</w:t>
      </w:r>
      <w:r>
        <w:rPr>
          <w:rFonts w:ascii="Arial" w:cs="Arial" w:eastAsia="Arial" w:hAnsi="Arial"/>
          <w:sz w:val="16"/>
          <w:szCs w:val="16"/>
          <w:color w:val="auto"/>
        </w:rPr>
        <w:t>: Companies with a focus on Internet and direct marketing retail, Internet services, software, and interactive media</w:t>
      </w:r>
      <w:r>
        <w:rPr>
          <w:rFonts w:ascii="Arial" w:cs="Arial" w:eastAsia="Arial" w:hAnsi="Arial"/>
          <w:sz w:val="16"/>
          <w:szCs w:val="16"/>
          <w:i w:val="1"/>
          <w:iCs w:val="1"/>
          <w:color w:val="auto"/>
        </w:rPr>
        <w:t xml:space="preserve"> </w:t>
      </w:r>
      <w:r>
        <w:rPr>
          <w:rFonts w:ascii="Arial" w:cs="Arial" w:eastAsia="Arial" w:hAnsi="Arial"/>
          <w:sz w:val="16"/>
          <w:szCs w:val="16"/>
          <w:color w:val="auto"/>
        </w:rPr>
        <w:t>and services</w:t>
      </w:r>
    </w:p>
    <w:p>
      <w:pPr>
        <w:spacing w:after="0" w:line="109" w:lineRule="exact"/>
        <w:rPr>
          <w:rFonts w:ascii="Arial" w:cs="Arial" w:eastAsia="Arial" w:hAnsi="Arial"/>
          <w:sz w:val="16"/>
          <w:szCs w:val="16"/>
          <w:color w:val="42B6E9"/>
        </w:rPr>
      </w:pPr>
    </w:p>
    <w:p>
      <w:pPr>
        <w:ind w:left="644" w:right="200" w:hanging="284"/>
        <w:spacing w:after="0" w:line="281" w:lineRule="auto"/>
        <w:tabs>
          <w:tab w:leader="none" w:pos="644" w:val="left"/>
        </w:tabs>
        <w:numPr>
          <w:ilvl w:val="0"/>
          <w:numId w:val="34"/>
        </w:numPr>
        <w:rPr>
          <w:rFonts w:ascii="Arial" w:cs="Arial" w:eastAsia="Arial" w:hAnsi="Arial"/>
          <w:sz w:val="16"/>
          <w:szCs w:val="16"/>
          <w:color w:val="42B6E9"/>
        </w:rPr>
      </w:pPr>
      <w:r>
        <w:rPr>
          <w:rFonts w:ascii="Arial" w:cs="Arial" w:eastAsia="Arial" w:hAnsi="Arial"/>
          <w:sz w:val="16"/>
          <w:szCs w:val="16"/>
          <w:i w:val="1"/>
          <w:iCs w:val="1"/>
          <w:color w:val="auto"/>
        </w:rPr>
        <w:t>Revenue</w:t>
      </w:r>
      <w:r>
        <w:rPr>
          <w:rFonts w:ascii="Arial" w:cs="Arial" w:eastAsia="Arial" w:hAnsi="Arial"/>
          <w:sz w:val="16"/>
          <w:szCs w:val="16"/>
          <w:color w:val="auto"/>
        </w:rPr>
        <w:t>: Companies with revenue generally ranging from 0.5x to 2.5x our annual net commissions revenue estimate and</w:t>
      </w:r>
      <w:r>
        <w:rPr>
          <w:rFonts w:ascii="Arial" w:cs="Arial" w:eastAsia="Arial" w:hAnsi="Arial"/>
          <w:sz w:val="16"/>
          <w:szCs w:val="16"/>
          <w:i w:val="1"/>
          <w:iCs w:val="1"/>
          <w:color w:val="auto"/>
        </w:rPr>
        <w:t xml:space="preserve"> </w:t>
      </w:r>
      <w:r>
        <w:rPr>
          <w:rFonts w:ascii="Arial" w:cs="Arial" w:eastAsia="Arial" w:hAnsi="Arial"/>
          <w:sz w:val="16"/>
          <w:szCs w:val="16"/>
          <w:color w:val="auto"/>
        </w:rPr>
        <w:t>strong (e.g., 20%+) annual revenue growth rates</w:t>
      </w:r>
    </w:p>
    <w:p>
      <w:pPr>
        <w:spacing w:after="0" w:line="164" w:lineRule="exact"/>
        <w:rPr>
          <w:sz w:val="20"/>
          <w:szCs w:val="20"/>
          <w:color w:val="auto"/>
        </w:rPr>
      </w:pPr>
    </w:p>
    <w:p>
      <w:pPr>
        <w:ind w:left="524" w:hanging="524"/>
        <w:spacing w:after="0"/>
        <w:tabs>
          <w:tab w:leader="none" w:pos="524"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25" w:name="page26"/>
    <w:bookmarkEnd w:id="25"/>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42B6E9"/>
        </w:rPr>
        <w:t>EXECUTIVE COMPENSATION (continued)</w:t>
      </w:r>
    </w:p>
    <w:p>
      <w:pPr>
        <w:spacing w:after="0" w:line="370" w:lineRule="exact"/>
        <w:rPr>
          <w:sz w:val="20"/>
          <w:szCs w:val="20"/>
          <w:color w:val="auto"/>
        </w:rPr>
      </w:pPr>
    </w:p>
    <w:p>
      <w:pPr>
        <w:ind w:left="644" w:hanging="284"/>
        <w:spacing w:after="0"/>
        <w:tabs>
          <w:tab w:leader="none" w:pos="644" w:val="left"/>
        </w:tabs>
        <w:numPr>
          <w:ilvl w:val="0"/>
          <w:numId w:val="36"/>
        </w:numPr>
        <w:rPr>
          <w:rFonts w:ascii="Arial" w:cs="Arial" w:eastAsia="Arial" w:hAnsi="Arial"/>
          <w:sz w:val="16"/>
          <w:szCs w:val="16"/>
          <w:color w:val="42B6E9"/>
        </w:rPr>
      </w:pPr>
      <w:r>
        <w:rPr>
          <w:rFonts w:ascii="Arial" w:cs="Arial" w:eastAsia="Arial" w:hAnsi="Arial"/>
          <w:sz w:val="16"/>
          <w:szCs w:val="16"/>
          <w:i w:val="1"/>
          <w:iCs w:val="1"/>
          <w:color w:val="auto"/>
        </w:rPr>
        <w:t>Market Cap</w:t>
      </w:r>
      <w:r>
        <w:rPr>
          <w:rFonts w:ascii="Arial" w:cs="Arial" w:eastAsia="Arial" w:hAnsi="Arial"/>
          <w:sz w:val="16"/>
          <w:szCs w:val="16"/>
          <w:color w:val="auto"/>
        </w:rPr>
        <w:t>: Companies generally with a market cap ranging up to 2.5x our market cap</w:t>
      </w:r>
    </w:p>
    <w:p>
      <w:pPr>
        <w:spacing w:after="0" w:line="167" w:lineRule="exact"/>
        <w:rPr>
          <w:rFonts w:ascii="Arial" w:cs="Arial" w:eastAsia="Arial" w:hAnsi="Arial"/>
          <w:sz w:val="16"/>
          <w:szCs w:val="16"/>
          <w:color w:val="42B6E9"/>
        </w:rPr>
      </w:pPr>
    </w:p>
    <w:p>
      <w:pPr>
        <w:ind w:left="644" w:hanging="284"/>
        <w:spacing w:after="0"/>
        <w:tabs>
          <w:tab w:leader="none" w:pos="644" w:val="left"/>
        </w:tabs>
        <w:numPr>
          <w:ilvl w:val="0"/>
          <w:numId w:val="36"/>
        </w:numPr>
        <w:rPr>
          <w:rFonts w:ascii="Arial" w:cs="Arial" w:eastAsia="Arial" w:hAnsi="Arial"/>
          <w:sz w:val="16"/>
          <w:szCs w:val="16"/>
          <w:color w:val="42B6E9"/>
        </w:rPr>
      </w:pPr>
      <w:r>
        <w:rPr>
          <w:rFonts w:ascii="Arial" w:cs="Arial" w:eastAsia="Arial" w:hAnsi="Arial"/>
          <w:sz w:val="16"/>
          <w:szCs w:val="16"/>
          <w:i w:val="1"/>
          <w:iCs w:val="1"/>
          <w:color w:val="auto"/>
        </w:rPr>
        <w:t>Additional Considerations</w:t>
      </w:r>
      <w:r>
        <w:rPr>
          <w:rFonts w:ascii="Arial" w:cs="Arial" w:eastAsia="Arial" w:hAnsi="Arial"/>
          <w:sz w:val="16"/>
          <w:szCs w:val="16"/>
          <w:color w:val="auto"/>
        </w:rPr>
        <w:t>: Preference for similar-stage/recently public companies</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6"/>
          <w:szCs w:val="16"/>
          <w:color w:val="auto"/>
        </w:rPr>
        <w:t>Based on this criteria, our Compensation Committee approved the following companies for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104775</wp:posOffset>
            </wp:positionV>
            <wp:extent cx="6077585" cy="26403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77585" cy="2640330"/>
                    </a:xfrm>
                    <a:prstGeom prst="rect">
                      <a:avLst/>
                    </a:prstGeom>
                    <a:noFill/>
                  </pic:spPr>
                </pic:pic>
              </a:graphicData>
            </a:graphic>
          </wp:anchor>
        </w:drawing>
      </w:r>
    </w:p>
    <w:p>
      <w:pPr>
        <w:spacing w:after="0" w:line="145" w:lineRule="exact"/>
        <w:rPr>
          <w:sz w:val="20"/>
          <w:szCs w:val="20"/>
          <w:color w:val="auto"/>
        </w:rPr>
      </w:pPr>
    </w:p>
    <w:tbl>
      <w:tblPr>
        <w:tblLayout w:type="fixed"/>
        <w:tblInd w:w="4" w:type="dxa"/>
        <w:tblCellMar>
          <w:top w:w="0" w:type="dxa"/>
          <w:left w:w="0" w:type="dxa"/>
          <w:bottom w:w="0" w:type="dxa"/>
          <w:right w:w="0" w:type="dxa"/>
        </w:tblCellMar>
      </w:tblPr>
      <w:tr>
        <w:trPr>
          <w:trHeight w:val="305"/>
        </w:trPr>
        <w:tc>
          <w:tcPr>
            <w:tcW w:w="4820" w:type="dxa"/>
            <w:vAlign w:val="bottom"/>
            <w:shd w:val="clear" w:color="auto" w:fill="E9F8FD"/>
          </w:tcPr>
          <w:p>
            <w:pPr>
              <w:ind w:left="80"/>
              <w:spacing w:after="0"/>
              <w:rPr>
                <w:sz w:val="20"/>
                <w:szCs w:val="20"/>
                <w:color w:val="auto"/>
              </w:rPr>
            </w:pPr>
            <w:r>
              <w:rPr>
                <w:rFonts w:ascii="Arial" w:cs="Arial" w:eastAsia="Arial" w:hAnsi="Arial"/>
                <w:sz w:val="16"/>
                <w:szCs w:val="16"/>
                <w:color w:val="auto"/>
              </w:rPr>
              <w:t>Chewy</w:t>
            </w:r>
          </w:p>
        </w:tc>
        <w:tc>
          <w:tcPr>
            <w:tcW w:w="4740" w:type="dxa"/>
            <w:vAlign w:val="bottom"/>
            <w:shd w:val="clear" w:color="auto" w:fill="E9F8FD"/>
          </w:tcPr>
          <w:p>
            <w:pPr>
              <w:ind w:left="100"/>
              <w:spacing w:after="0"/>
              <w:rPr>
                <w:sz w:val="20"/>
                <w:szCs w:val="20"/>
                <w:color w:val="auto"/>
              </w:rPr>
            </w:pPr>
            <w:r>
              <w:rPr>
                <w:rFonts w:ascii="Arial" w:cs="Arial" w:eastAsia="Arial" w:hAnsi="Arial"/>
                <w:sz w:val="16"/>
                <w:szCs w:val="16"/>
                <w:color w:val="auto"/>
              </w:rPr>
              <w:t>Roku</w:t>
            </w:r>
          </w:p>
        </w:tc>
      </w:tr>
      <w:tr>
        <w:trPr>
          <w:trHeight w:val="378"/>
        </w:trPr>
        <w:tc>
          <w:tcPr>
            <w:tcW w:w="4820" w:type="dxa"/>
            <w:vAlign w:val="bottom"/>
            <w:shd w:val="clear" w:color="auto" w:fill="E9F8FD"/>
          </w:tcPr>
          <w:p>
            <w:pPr>
              <w:ind w:left="80"/>
              <w:spacing w:after="0"/>
              <w:rPr>
                <w:sz w:val="20"/>
                <w:szCs w:val="20"/>
                <w:color w:val="auto"/>
              </w:rPr>
            </w:pPr>
            <w:r>
              <w:rPr>
                <w:rFonts w:ascii="Arial" w:cs="Arial" w:eastAsia="Arial" w:hAnsi="Arial"/>
                <w:sz w:val="16"/>
                <w:szCs w:val="16"/>
                <w:color w:val="auto"/>
              </w:rPr>
              <w:t>DocuSign</w:t>
            </w:r>
          </w:p>
        </w:tc>
        <w:tc>
          <w:tcPr>
            <w:tcW w:w="4740" w:type="dxa"/>
            <w:vAlign w:val="bottom"/>
            <w:shd w:val="clear" w:color="auto" w:fill="E9F8FD"/>
          </w:tcPr>
          <w:p>
            <w:pPr>
              <w:ind w:left="100"/>
              <w:spacing w:after="0"/>
              <w:rPr>
                <w:sz w:val="20"/>
                <w:szCs w:val="20"/>
                <w:color w:val="auto"/>
              </w:rPr>
            </w:pPr>
            <w:r>
              <w:rPr>
                <w:rFonts w:ascii="Arial" w:cs="Arial" w:eastAsia="Arial" w:hAnsi="Arial"/>
                <w:sz w:val="16"/>
                <w:szCs w:val="16"/>
                <w:color w:val="auto"/>
              </w:rPr>
              <w:t>Shopify</w:t>
            </w:r>
          </w:p>
        </w:tc>
      </w:tr>
      <w:tr>
        <w:trPr>
          <w:trHeight w:val="378"/>
        </w:trPr>
        <w:tc>
          <w:tcPr>
            <w:tcW w:w="4820" w:type="dxa"/>
            <w:vAlign w:val="bottom"/>
            <w:shd w:val="clear" w:color="auto" w:fill="E9F8FD"/>
          </w:tcPr>
          <w:p>
            <w:pPr>
              <w:ind w:left="80"/>
              <w:spacing w:after="0"/>
              <w:rPr>
                <w:sz w:val="20"/>
                <w:szCs w:val="20"/>
                <w:color w:val="auto"/>
              </w:rPr>
            </w:pPr>
            <w:r>
              <w:rPr>
                <w:rFonts w:ascii="Arial" w:cs="Arial" w:eastAsia="Arial" w:hAnsi="Arial"/>
                <w:sz w:val="16"/>
                <w:szCs w:val="16"/>
                <w:color w:val="auto"/>
              </w:rPr>
              <w:t>Dropbox</w:t>
            </w:r>
          </w:p>
        </w:tc>
        <w:tc>
          <w:tcPr>
            <w:tcW w:w="4740" w:type="dxa"/>
            <w:vAlign w:val="bottom"/>
            <w:shd w:val="clear" w:color="auto" w:fill="E9F8FD"/>
          </w:tcPr>
          <w:p>
            <w:pPr>
              <w:ind w:left="100"/>
              <w:spacing w:after="0"/>
              <w:rPr>
                <w:sz w:val="20"/>
                <w:szCs w:val="20"/>
                <w:color w:val="auto"/>
              </w:rPr>
            </w:pPr>
            <w:r>
              <w:rPr>
                <w:rFonts w:ascii="Arial" w:cs="Arial" w:eastAsia="Arial" w:hAnsi="Arial"/>
                <w:sz w:val="16"/>
                <w:szCs w:val="16"/>
                <w:color w:val="auto"/>
              </w:rPr>
              <w:t>Slack Technologies</w:t>
            </w:r>
          </w:p>
        </w:tc>
      </w:tr>
      <w:tr>
        <w:trPr>
          <w:trHeight w:val="378"/>
        </w:trPr>
        <w:tc>
          <w:tcPr>
            <w:tcW w:w="4820" w:type="dxa"/>
            <w:vAlign w:val="bottom"/>
            <w:shd w:val="clear" w:color="auto" w:fill="E9F8FD"/>
          </w:tcPr>
          <w:p>
            <w:pPr>
              <w:ind w:left="80"/>
              <w:spacing w:after="0"/>
              <w:rPr>
                <w:sz w:val="20"/>
                <w:szCs w:val="20"/>
                <w:color w:val="auto"/>
              </w:rPr>
            </w:pPr>
            <w:r>
              <w:rPr>
                <w:rFonts w:ascii="Arial" w:cs="Arial" w:eastAsia="Arial" w:hAnsi="Arial"/>
                <w:sz w:val="16"/>
                <w:szCs w:val="16"/>
                <w:color w:val="auto"/>
              </w:rPr>
              <w:t>Etsy</w:t>
            </w:r>
          </w:p>
        </w:tc>
        <w:tc>
          <w:tcPr>
            <w:tcW w:w="4740" w:type="dxa"/>
            <w:vAlign w:val="bottom"/>
            <w:shd w:val="clear" w:color="auto" w:fill="E9F8FD"/>
          </w:tcPr>
          <w:p>
            <w:pPr>
              <w:ind w:left="100"/>
              <w:spacing w:after="0"/>
              <w:rPr>
                <w:sz w:val="20"/>
                <w:szCs w:val="20"/>
                <w:color w:val="auto"/>
              </w:rPr>
            </w:pPr>
            <w:r>
              <w:rPr>
                <w:rFonts w:ascii="Arial" w:cs="Arial" w:eastAsia="Arial" w:hAnsi="Arial"/>
                <w:sz w:val="16"/>
                <w:szCs w:val="16"/>
                <w:color w:val="auto"/>
              </w:rPr>
              <w:t>Snap</w:t>
            </w:r>
          </w:p>
        </w:tc>
      </w:tr>
      <w:tr>
        <w:trPr>
          <w:trHeight w:val="378"/>
        </w:trPr>
        <w:tc>
          <w:tcPr>
            <w:tcW w:w="4820" w:type="dxa"/>
            <w:vAlign w:val="bottom"/>
            <w:shd w:val="clear" w:color="auto" w:fill="E9F8FD"/>
          </w:tcPr>
          <w:p>
            <w:pPr>
              <w:ind w:left="80"/>
              <w:spacing w:after="0"/>
              <w:rPr>
                <w:sz w:val="20"/>
                <w:szCs w:val="20"/>
                <w:color w:val="auto"/>
              </w:rPr>
            </w:pPr>
            <w:r>
              <w:rPr>
                <w:rFonts w:ascii="Arial" w:cs="Arial" w:eastAsia="Arial" w:hAnsi="Arial"/>
                <w:sz w:val="16"/>
                <w:szCs w:val="16"/>
                <w:color w:val="auto"/>
              </w:rPr>
              <w:t>GoDaddy</w:t>
            </w:r>
          </w:p>
        </w:tc>
        <w:tc>
          <w:tcPr>
            <w:tcW w:w="4740" w:type="dxa"/>
            <w:vAlign w:val="bottom"/>
            <w:shd w:val="clear" w:color="auto" w:fill="E9F8FD"/>
          </w:tcPr>
          <w:p>
            <w:pPr>
              <w:ind w:left="100"/>
              <w:spacing w:after="0"/>
              <w:rPr>
                <w:sz w:val="20"/>
                <w:szCs w:val="20"/>
                <w:color w:val="auto"/>
              </w:rPr>
            </w:pPr>
            <w:r>
              <w:rPr>
                <w:rFonts w:ascii="Arial" w:cs="Arial" w:eastAsia="Arial" w:hAnsi="Arial"/>
                <w:sz w:val="16"/>
                <w:szCs w:val="16"/>
                <w:color w:val="auto"/>
              </w:rPr>
              <w:t>Splunk</w:t>
            </w:r>
          </w:p>
        </w:tc>
      </w:tr>
      <w:tr>
        <w:trPr>
          <w:trHeight w:val="378"/>
        </w:trPr>
        <w:tc>
          <w:tcPr>
            <w:tcW w:w="4820" w:type="dxa"/>
            <w:vAlign w:val="bottom"/>
            <w:shd w:val="clear" w:color="auto" w:fill="E9F8FD"/>
          </w:tcPr>
          <w:p>
            <w:pPr>
              <w:ind w:left="80"/>
              <w:spacing w:after="0"/>
              <w:rPr>
                <w:sz w:val="20"/>
                <w:szCs w:val="20"/>
                <w:color w:val="auto"/>
              </w:rPr>
            </w:pPr>
            <w:r>
              <w:rPr>
                <w:rFonts w:ascii="Arial" w:cs="Arial" w:eastAsia="Arial" w:hAnsi="Arial"/>
                <w:sz w:val="16"/>
                <w:szCs w:val="16"/>
                <w:color w:val="auto"/>
              </w:rPr>
              <w:t>Lyft</w:t>
            </w:r>
          </w:p>
        </w:tc>
        <w:tc>
          <w:tcPr>
            <w:tcW w:w="4740" w:type="dxa"/>
            <w:vAlign w:val="bottom"/>
            <w:shd w:val="clear" w:color="auto" w:fill="E9F8FD"/>
          </w:tcPr>
          <w:p>
            <w:pPr>
              <w:ind w:left="100"/>
              <w:spacing w:after="0"/>
              <w:rPr>
                <w:sz w:val="20"/>
                <w:szCs w:val="20"/>
                <w:color w:val="auto"/>
              </w:rPr>
            </w:pPr>
            <w:r>
              <w:rPr>
                <w:rFonts w:ascii="Arial" w:cs="Arial" w:eastAsia="Arial" w:hAnsi="Arial"/>
                <w:sz w:val="16"/>
                <w:szCs w:val="16"/>
                <w:color w:val="auto"/>
              </w:rPr>
              <w:t>Square</w:t>
            </w:r>
          </w:p>
        </w:tc>
      </w:tr>
      <w:tr>
        <w:trPr>
          <w:trHeight w:val="378"/>
        </w:trPr>
        <w:tc>
          <w:tcPr>
            <w:tcW w:w="4820" w:type="dxa"/>
            <w:vAlign w:val="bottom"/>
            <w:shd w:val="clear" w:color="auto" w:fill="E9F8FD"/>
          </w:tcPr>
          <w:p>
            <w:pPr>
              <w:ind w:left="80"/>
              <w:spacing w:after="0"/>
              <w:rPr>
                <w:sz w:val="20"/>
                <w:szCs w:val="20"/>
                <w:color w:val="auto"/>
              </w:rPr>
            </w:pPr>
            <w:r>
              <w:rPr>
                <w:rFonts w:ascii="Arial" w:cs="Arial" w:eastAsia="Arial" w:hAnsi="Arial"/>
                <w:sz w:val="16"/>
                <w:szCs w:val="16"/>
                <w:color w:val="auto"/>
              </w:rPr>
              <w:t>Okta</w:t>
            </w:r>
          </w:p>
        </w:tc>
        <w:tc>
          <w:tcPr>
            <w:tcW w:w="4740" w:type="dxa"/>
            <w:vAlign w:val="bottom"/>
            <w:shd w:val="clear" w:color="auto" w:fill="E9F8FD"/>
          </w:tcPr>
          <w:p>
            <w:pPr>
              <w:ind w:left="100"/>
              <w:spacing w:after="0"/>
              <w:rPr>
                <w:sz w:val="20"/>
                <w:szCs w:val="20"/>
                <w:color w:val="auto"/>
              </w:rPr>
            </w:pPr>
            <w:r>
              <w:rPr>
                <w:rFonts w:ascii="Arial" w:cs="Arial" w:eastAsia="Arial" w:hAnsi="Arial"/>
                <w:sz w:val="16"/>
                <w:szCs w:val="16"/>
                <w:color w:val="auto"/>
              </w:rPr>
              <w:t>Stitch Fix</w:t>
            </w:r>
          </w:p>
        </w:tc>
      </w:tr>
      <w:tr>
        <w:trPr>
          <w:trHeight w:val="378"/>
        </w:trPr>
        <w:tc>
          <w:tcPr>
            <w:tcW w:w="4820" w:type="dxa"/>
            <w:vAlign w:val="bottom"/>
            <w:shd w:val="clear" w:color="auto" w:fill="E9F8FD"/>
          </w:tcPr>
          <w:p>
            <w:pPr>
              <w:ind w:left="80"/>
              <w:spacing w:after="0"/>
              <w:rPr>
                <w:sz w:val="20"/>
                <w:szCs w:val="20"/>
                <w:color w:val="auto"/>
              </w:rPr>
            </w:pPr>
            <w:r>
              <w:rPr>
                <w:rFonts w:ascii="Arial" w:cs="Arial" w:eastAsia="Arial" w:hAnsi="Arial"/>
                <w:sz w:val="16"/>
                <w:szCs w:val="16"/>
                <w:color w:val="auto"/>
              </w:rPr>
              <w:t>Palo Alto Networks</w:t>
            </w:r>
          </w:p>
        </w:tc>
        <w:tc>
          <w:tcPr>
            <w:tcW w:w="4740" w:type="dxa"/>
            <w:vAlign w:val="bottom"/>
            <w:shd w:val="clear" w:color="auto" w:fill="E9F8FD"/>
          </w:tcPr>
          <w:p>
            <w:pPr>
              <w:ind w:left="100"/>
              <w:spacing w:after="0"/>
              <w:rPr>
                <w:sz w:val="20"/>
                <w:szCs w:val="20"/>
                <w:color w:val="auto"/>
              </w:rPr>
            </w:pPr>
            <w:r>
              <w:rPr>
                <w:rFonts w:ascii="Arial" w:cs="Arial" w:eastAsia="Arial" w:hAnsi="Arial"/>
                <w:sz w:val="16"/>
                <w:szCs w:val="16"/>
                <w:color w:val="auto"/>
              </w:rPr>
              <w:t>Twilio</w:t>
            </w:r>
          </w:p>
        </w:tc>
      </w:tr>
      <w:tr>
        <w:trPr>
          <w:trHeight w:val="378"/>
        </w:trPr>
        <w:tc>
          <w:tcPr>
            <w:tcW w:w="4820" w:type="dxa"/>
            <w:vAlign w:val="bottom"/>
            <w:shd w:val="clear" w:color="auto" w:fill="E9F8FD"/>
          </w:tcPr>
          <w:p>
            <w:pPr>
              <w:ind w:left="80"/>
              <w:spacing w:after="0"/>
              <w:rPr>
                <w:sz w:val="20"/>
                <w:szCs w:val="20"/>
                <w:color w:val="auto"/>
              </w:rPr>
            </w:pPr>
            <w:r>
              <w:rPr>
                <w:rFonts w:ascii="Arial" w:cs="Arial" w:eastAsia="Arial" w:hAnsi="Arial"/>
                <w:sz w:val="16"/>
                <w:szCs w:val="16"/>
                <w:color w:val="auto"/>
              </w:rPr>
              <w:t>Peloton Interactive</w:t>
            </w:r>
          </w:p>
        </w:tc>
        <w:tc>
          <w:tcPr>
            <w:tcW w:w="4740" w:type="dxa"/>
            <w:vAlign w:val="bottom"/>
            <w:shd w:val="clear" w:color="auto" w:fill="E9F8FD"/>
          </w:tcPr>
          <w:p>
            <w:pPr>
              <w:ind w:left="100"/>
              <w:spacing w:after="0"/>
              <w:rPr>
                <w:sz w:val="20"/>
                <w:szCs w:val="20"/>
                <w:color w:val="auto"/>
              </w:rPr>
            </w:pPr>
            <w:r>
              <w:rPr>
                <w:rFonts w:ascii="Arial" w:cs="Arial" w:eastAsia="Arial" w:hAnsi="Arial"/>
                <w:sz w:val="16"/>
                <w:szCs w:val="16"/>
                <w:color w:val="auto"/>
              </w:rPr>
              <w:t>Twitter</w:t>
            </w:r>
          </w:p>
        </w:tc>
      </w:tr>
      <w:tr>
        <w:trPr>
          <w:trHeight w:val="378"/>
        </w:trPr>
        <w:tc>
          <w:tcPr>
            <w:tcW w:w="4820" w:type="dxa"/>
            <w:vAlign w:val="bottom"/>
            <w:shd w:val="clear" w:color="auto" w:fill="E9F8FD"/>
          </w:tcPr>
          <w:p>
            <w:pPr>
              <w:ind w:left="80"/>
              <w:spacing w:after="0"/>
              <w:rPr>
                <w:sz w:val="20"/>
                <w:szCs w:val="20"/>
                <w:color w:val="auto"/>
              </w:rPr>
            </w:pPr>
            <w:r>
              <w:rPr>
                <w:rFonts w:ascii="Arial" w:cs="Arial" w:eastAsia="Arial" w:hAnsi="Arial"/>
                <w:sz w:val="16"/>
                <w:szCs w:val="16"/>
                <w:color w:val="auto"/>
              </w:rPr>
              <w:t>Pinterest</w:t>
            </w:r>
          </w:p>
        </w:tc>
        <w:tc>
          <w:tcPr>
            <w:tcW w:w="4740" w:type="dxa"/>
            <w:vAlign w:val="bottom"/>
            <w:shd w:val="clear" w:color="auto" w:fill="E9F8FD"/>
          </w:tcPr>
          <w:p>
            <w:pPr>
              <w:ind w:left="100"/>
              <w:spacing w:after="0"/>
              <w:rPr>
                <w:sz w:val="20"/>
                <w:szCs w:val="20"/>
                <w:color w:val="auto"/>
              </w:rPr>
            </w:pPr>
            <w:r>
              <w:rPr>
                <w:rFonts w:ascii="Arial" w:cs="Arial" w:eastAsia="Arial" w:hAnsi="Arial"/>
                <w:sz w:val="16"/>
                <w:szCs w:val="16"/>
                <w:color w:val="auto"/>
              </w:rPr>
              <w:t>Wayfair</w:t>
            </w:r>
          </w:p>
        </w:tc>
      </w:tr>
      <w:tr>
        <w:trPr>
          <w:trHeight w:val="378"/>
        </w:trPr>
        <w:tc>
          <w:tcPr>
            <w:tcW w:w="4820" w:type="dxa"/>
            <w:vAlign w:val="bottom"/>
            <w:shd w:val="clear" w:color="auto" w:fill="E9F8FD"/>
          </w:tcPr>
          <w:p>
            <w:pPr>
              <w:ind w:left="80"/>
              <w:spacing w:after="0"/>
              <w:rPr>
                <w:sz w:val="20"/>
                <w:szCs w:val="20"/>
                <w:color w:val="auto"/>
              </w:rPr>
            </w:pPr>
            <w:r>
              <w:rPr>
                <w:rFonts w:ascii="Arial" w:cs="Arial" w:eastAsia="Arial" w:hAnsi="Arial"/>
                <w:sz w:val="16"/>
                <w:szCs w:val="16"/>
                <w:color w:val="auto"/>
              </w:rPr>
              <w:t>RingCentral</w:t>
            </w:r>
          </w:p>
        </w:tc>
        <w:tc>
          <w:tcPr>
            <w:tcW w:w="4740" w:type="dxa"/>
            <w:vAlign w:val="bottom"/>
            <w:shd w:val="clear" w:color="auto" w:fill="E9F8FD"/>
          </w:tcPr>
          <w:p>
            <w:pPr>
              <w:ind w:left="100"/>
              <w:spacing w:after="0"/>
              <w:rPr>
                <w:sz w:val="20"/>
                <w:szCs w:val="20"/>
                <w:color w:val="auto"/>
              </w:rPr>
            </w:pPr>
            <w:r>
              <w:rPr>
                <w:rFonts w:ascii="Arial" w:cs="Arial" w:eastAsia="Arial" w:hAnsi="Arial"/>
                <w:sz w:val="16"/>
                <w:szCs w:val="16"/>
                <w:color w:val="auto"/>
              </w:rPr>
              <w:t>Zillow Group</w:t>
            </w:r>
          </w:p>
        </w:tc>
      </w:tr>
      <w:tr>
        <w:trPr>
          <w:trHeight w:val="60"/>
        </w:trPr>
        <w:tc>
          <w:tcPr>
            <w:tcW w:w="4820" w:type="dxa"/>
            <w:vAlign w:val="bottom"/>
            <w:shd w:val="clear" w:color="auto" w:fill="E9F8FD"/>
          </w:tcPr>
          <w:p>
            <w:pPr>
              <w:spacing w:after="0"/>
              <w:rPr>
                <w:sz w:val="5"/>
                <w:szCs w:val="5"/>
                <w:color w:val="auto"/>
              </w:rPr>
            </w:pPr>
          </w:p>
        </w:tc>
        <w:tc>
          <w:tcPr>
            <w:tcW w:w="4740" w:type="dxa"/>
            <w:vAlign w:val="bottom"/>
            <w:shd w:val="clear" w:color="auto" w:fill="E9F8FD"/>
          </w:tcPr>
          <w:p>
            <w:pPr>
              <w:spacing w:after="0"/>
              <w:rPr>
                <w:sz w:val="5"/>
                <w:szCs w:val="5"/>
                <w:color w:val="auto"/>
              </w:rPr>
            </w:pPr>
          </w:p>
        </w:tc>
      </w:tr>
    </w:tbl>
    <w:p>
      <w:pPr>
        <w:spacing w:after="0" w:line="25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42B6E9"/>
        </w:rPr>
        <w:t>Compensation Elements</w:t>
      </w:r>
    </w:p>
    <w:p>
      <w:pPr>
        <w:spacing w:after="0" w:line="66" w:lineRule="exact"/>
        <w:rPr>
          <w:sz w:val="20"/>
          <w:szCs w:val="20"/>
          <w:color w:val="auto"/>
        </w:rPr>
      </w:pPr>
    </w:p>
    <w:p>
      <w:pPr>
        <w:ind w:left="4" w:right="40"/>
        <w:spacing w:after="0" w:line="253" w:lineRule="auto"/>
        <w:rPr>
          <w:sz w:val="20"/>
          <w:szCs w:val="20"/>
          <w:color w:val="auto"/>
        </w:rPr>
      </w:pPr>
      <w:r>
        <w:rPr>
          <w:rFonts w:ascii="Arial" w:cs="Arial" w:eastAsia="Arial" w:hAnsi="Arial"/>
          <w:sz w:val="16"/>
          <w:szCs w:val="16"/>
          <w:color w:val="auto"/>
        </w:rPr>
        <w:t>In 2020, we used cash and equity compensation to provide an overall competitive total compensation and benefits package to our named executive officers that is tied to creating value, commensurate with our results, and aligns with our business strategy. Set forth below are the key elements of the compensation program for our named executive officers for 2020.</w:t>
      </w:r>
    </w:p>
    <w:p>
      <w:pPr>
        <w:spacing w:after="0" w:line="27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42B6E9"/>
        </w:rPr>
        <w:t>Base Salary</w:t>
      </w:r>
    </w:p>
    <w:p>
      <w:pPr>
        <w:spacing w:after="0" w:line="66" w:lineRule="exact"/>
        <w:rPr>
          <w:sz w:val="20"/>
          <w:szCs w:val="20"/>
          <w:color w:val="auto"/>
        </w:rPr>
      </w:pPr>
    </w:p>
    <w:p>
      <w:pPr>
        <w:ind w:left="4" w:right="80"/>
        <w:spacing w:after="0" w:line="248" w:lineRule="auto"/>
        <w:rPr>
          <w:sz w:val="20"/>
          <w:szCs w:val="20"/>
          <w:color w:val="auto"/>
        </w:rPr>
      </w:pPr>
      <w:r>
        <w:rPr>
          <w:rFonts w:ascii="Arial" w:cs="Arial" w:eastAsia="Arial" w:hAnsi="Arial"/>
          <w:sz w:val="16"/>
          <w:szCs w:val="16"/>
          <w:color w:val="auto"/>
        </w:rPr>
        <w:t>As part of the Company’s annual review process and in conjunction with our initial public offering, our Compensation Committee reviewed the base salaries of our named executive officers in August 2020 based on an analysis prepared by Compensia, taking into account relative data from our peers, and a review of each individual’s performance, criticality, tenure, and review of peer compensation data. Our Compensation Committee recommended to our Board of Directors that the base salaries of Messrs. Bahri, Shah, and Chuang be increased, effective as of September 1, 2020 as set forth below in order to align their base salaries with the 50th percentile of the executives at the companies in our peer group with similar roles. Our Compensation Committee did not adjust the base salaries for Messrs. Szulczewski and Liu based primarily on a review of their competitiveness relative to peer executives in similar roles.</w:t>
      </w:r>
    </w:p>
    <w:p>
      <w:pPr>
        <w:spacing w:after="0" w:line="153" w:lineRule="exact"/>
        <w:rPr>
          <w:sz w:val="20"/>
          <w:szCs w:val="20"/>
          <w:color w:val="auto"/>
        </w:rPr>
      </w:pPr>
    </w:p>
    <w:p>
      <w:pPr>
        <w:ind w:left="4" w:right="400"/>
        <w:spacing w:after="0" w:line="260" w:lineRule="auto"/>
        <w:rPr>
          <w:sz w:val="20"/>
          <w:szCs w:val="20"/>
          <w:color w:val="auto"/>
        </w:rPr>
      </w:pPr>
      <w:r>
        <w:rPr>
          <w:rFonts w:ascii="Arial" w:cs="Arial" w:eastAsia="Arial" w:hAnsi="Arial"/>
          <w:sz w:val="16"/>
          <w:szCs w:val="16"/>
          <w:color w:val="auto"/>
        </w:rPr>
        <w:t>The base salaries of our named executive officers during fiscal 2020, including the increased salaries to reflect the September 1, 2020 adjustment,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6077585" cy="16287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77585" cy="1628775"/>
                    </a:xfrm>
                    <a:prstGeom prst="rect">
                      <a:avLst/>
                    </a:prstGeom>
                    <a:noFill/>
                  </pic:spPr>
                </pic:pic>
              </a:graphicData>
            </a:graphic>
          </wp:anchor>
        </w:drawing>
      </w:r>
    </w:p>
    <w:p>
      <w:pPr>
        <w:spacing w:after="0" w:line="25"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2980" w:type="dxa"/>
            <w:vAlign w:val="bottom"/>
            <w:shd w:val="clear" w:color="auto" w:fill="42B6E9"/>
          </w:tcPr>
          <w:p>
            <w:pPr>
              <w:spacing w:after="0"/>
              <w:rPr>
                <w:sz w:val="22"/>
                <w:szCs w:val="22"/>
                <w:color w:val="auto"/>
              </w:rPr>
            </w:pPr>
          </w:p>
        </w:tc>
        <w:tc>
          <w:tcPr>
            <w:tcW w:w="3140" w:type="dxa"/>
            <w:vAlign w:val="bottom"/>
            <w:shd w:val="clear" w:color="auto" w:fill="42B6E9"/>
          </w:tcPr>
          <w:p>
            <w:pPr>
              <w:spacing w:after="0"/>
              <w:rPr>
                <w:sz w:val="22"/>
                <w:szCs w:val="22"/>
                <w:color w:val="auto"/>
              </w:rPr>
            </w:pPr>
          </w:p>
        </w:tc>
        <w:tc>
          <w:tcPr>
            <w:tcW w:w="2120" w:type="dxa"/>
            <w:vAlign w:val="bottom"/>
            <w:shd w:val="clear" w:color="auto" w:fill="42B6E9"/>
          </w:tcPr>
          <w:p>
            <w:pPr>
              <w:jc w:val="right"/>
              <w:ind w:right="422"/>
              <w:spacing w:after="0"/>
              <w:rPr>
                <w:sz w:val="20"/>
                <w:szCs w:val="20"/>
                <w:color w:val="auto"/>
              </w:rPr>
            </w:pPr>
            <w:r>
              <w:rPr>
                <w:rFonts w:ascii="Arial" w:cs="Arial" w:eastAsia="Arial" w:hAnsi="Arial"/>
                <w:sz w:val="14"/>
                <w:szCs w:val="14"/>
                <w:b w:val="1"/>
                <w:bCs w:val="1"/>
                <w:color w:val="FFFFFF"/>
              </w:rPr>
              <w:t>Fiscal 2020</w:t>
            </w:r>
          </w:p>
        </w:tc>
        <w:tc>
          <w:tcPr>
            <w:tcW w:w="1320" w:type="dxa"/>
            <w:vAlign w:val="bottom"/>
            <w:shd w:val="clear" w:color="auto" w:fill="42B6E9"/>
          </w:tcPr>
          <w:p>
            <w:pPr>
              <w:spacing w:after="0"/>
              <w:rPr>
                <w:sz w:val="22"/>
                <w:szCs w:val="22"/>
                <w:color w:val="auto"/>
              </w:rPr>
            </w:pPr>
          </w:p>
        </w:tc>
      </w:tr>
      <w:tr>
        <w:trPr>
          <w:trHeight w:val="162"/>
        </w:trPr>
        <w:tc>
          <w:tcPr>
            <w:tcW w:w="2980" w:type="dxa"/>
            <w:vAlign w:val="bottom"/>
            <w:shd w:val="clear" w:color="auto" w:fill="42B6E9"/>
          </w:tcPr>
          <w:p>
            <w:pPr>
              <w:spacing w:after="0"/>
              <w:rPr>
                <w:sz w:val="14"/>
                <w:szCs w:val="14"/>
                <w:color w:val="auto"/>
              </w:rPr>
            </w:pPr>
          </w:p>
        </w:tc>
        <w:tc>
          <w:tcPr>
            <w:tcW w:w="3140" w:type="dxa"/>
            <w:vAlign w:val="bottom"/>
            <w:shd w:val="clear" w:color="auto" w:fill="42B6E9"/>
          </w:tcPr>
          <w:p>
            <w:pPr>
              <w:jc w:val="right"/>
              <w:ind w:right="382"/>
              <w:spacing w:after="0"/>
              <w:rPr>
                <w:sz w:val="20"/>
                <w:szCs w:val="20"/>
                <w:color w:val="auto"/>
              </w:rPr>
            </w:pPr>
            <w:r>
              <w:rPr>
                <w:rFonts w:ascii="Arial" w:cs="Arial" w:eastAsia="Arial" w:hAnsi="Arial"/>
                <w:sz w:val="14"/>
                <w:szCs w:val="14"/>
                <w:b w:val="1"/>
                <w:bCs w:val="1"/>
                <w:color w:val="FFFFFF"/>
              </w:rPr>
              <w:t>Fiscal 2020 Base</w:t>
            </w:r>
          </w:p>
        </w:tc>
        <w:tc>
          <w:tcPr>
            <w:tcW w:w="2120" w:type="dxa"/>
            <w:vAlign w:val="bottom"/>
            <w:shd w:val="clear" w:color="auto" w:fill="42B6E9"/>
          </w:tcPr>
          <w:p>
            <w:pPr>
              <w:jc w:val="right"/>
              <w:ind w:right="422"/>
              <w:spacing w:after="0"/>
              <w:rPr>
                <w:sz w:val="20"/>
                <w:szCs w:val="20"/>
                <w:color w:val="auto"/>
              </w:rPr>
            </w:pPr>
            <w:r>
              <w:rPr>
                <w:rFonts w:ascii="Arial" w:cs="Arial" w:eastAsia="Arial" w:hAnsi="Arial"/>
                <w:sz w:val="14"/>
                <w:szCs w:val="14"/>
                <w:b w:val="1"/>
                <w:bCs w:val="1"/>
                <w:color w:val="FFFFFF"/>
              </w:rPr>
              <w:t>Base Salary</w:t>
            </w:r>
          </w:p>
        </w:tc>
        <w:tc>
          <w:tcPr>
            <w:tcW w:w="1320" w:type="dxa"/>
            <w:vAlign w:val="bottom"/>
            <w:shd w:val="clear" w:color="auto" w:fill="42B6E9"/>
          </w:tcPr>
          <w:p>
            <w:pPr>
              <w:jc w:val="right"/>
              <w:ind w:right="22"/>
              <w:spacing w:after="0"/>
              <w:rPr>
                <w:sz w:val="20"/>
                <w:szCs w:val="20"/>
                <w:color w:val="auto"/>
              </w:rPr>
            </w:pPr>
            <w:r>
              <w:rPr>
                <w:rFonts w:ascii="Arial" w:cs="Arial" w:eastAsia="Arial" w:hAnsi="Arial"/>
                <w:sz w:val="14"/>
                <w:szCs w:val="14"/>
                <w:b w:val="1"/>
                <w:bCs w:val="1"/>
                <w:color w:val="FFFFFF"/>
              </w:rPr>
              <w:t>Percentage</w:t>
            </w:r>
          </w:p>
        </w:tc>
      </w:tr>
      <w:tr>
        <w:trPr>
          <w:trHeight w:val="190"/>
        </w:trPr>
        <w:tc>
          <w:tcPr>
            <w:tcW w:w="2980" w:type="dxa"/>
            <w:vAlign w:val="bottom"/>
            <w:shd w:val="clear" w:color="auto" w:fill="42B6E9"/>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3140" w:type="dxa"/>
            <w:vAlign w:val="bottom"/>
            <w:shd w:val="clear" w:color="auto" w:fill="42B6E9"/>
          </w:tcPr>
          <w:p>
            <w:pPr>
              <w:jc w:val="right"/>
              <w:ind w:right="382"/>
              <w:spacing w:after="0"/>
              <w:rPr>
                <w:sz w:val="20"/>
                <w:szCs w:val="20"/>
                <w:color w:val="auto"/>
              </w:rPr>
            </w:pPr>
            <w:r>
              <w:rPr>
                <w:rFonts w:ascii="Arial" w:cs="Arial" w:eastAsia="Arial" w:hAnsi="Arial"/>
                <w:sz w:val="14"/>
                <w:szCs w:val="14"/>
                <w:b w:val="1"/>
                <w:bCs w:val="1"/>
                <w:color w:val="FFFFFF"/>
              </w:rPr>
              <w:t>Salary Prior to 9/1/2020</w:t>
            </w:r>
          </w:p>
        </w:tc>
        <w:tc>
          <w:tcPr>
            <w:tcW w:w="2120" w:type="dxa"/>
            <w:vAlign w:val="bottom"/>
            <w:shd w:val="clear" w:color="auto" w:fill="42B6E9"/>
          </w:tcPr>
          <w:p>
            <w:pPr>
              <w:jc w:val="right"/>
              <w:ind w:right="382"/>
              <w:spacing w:after="0"/>
              <w:rPr>
                <w:sz w:val="20"/>
                <w:szCs w:val="20"/>
                <w:color w:val="auto"/>
              </w:rPr>
            </w:pPr>
            <w:r>
              <w:rPr>
                <w:rFonts w:ascii="Arial" w:cs="Arial" w:eastAsia="Arial" w:hAnsi="Arial"/>
                <w:sz w:val="14"/>
                <w:szCs w:val="14"/>
                <w:b w:val="1"/>
                <w:bCs w:val="1"/>
                <w:color w:val="FFFFFF"/>
              </w:rPr>
              <w:t>Effective 9/1/2020</w:t>
            </w:r>
          </w:p>
        </w:tc>
        <w:tc>
          <w:tcPr>
            <w:tcW w:w="1320" w:type="dxa"/>
            <w:vAlign w:val="bottom"/>
            <w:shd w:val="clear" w:color="auto" w:fill="42B6E9"/>
          </w:tcPr>
          <w:p>
            <w:pPr>
              <w:jc w:val="right"/>
              <w:ind w:right="22"/>
              <w:spacing w:after="0"/>
              <w:rPr>
                <w:sz w:val="20"/>
                <w:szCs w:val="20"/>
                <w:color w:val="auto"/>
              </w:rPr>
            </w:pPr>
            <w:r>
              <w:rPr>
                <w:rFonts w:ascii="Arial" w:cs="Arial" w:eastAsia="Arial" w:hAnsi="Arial"/>
                <w:sz w:val="14"/>
                <w:szCs w:val="14"/>
                <w:b w:val="1"/>
                <w:bCs w:val="1"/>
                <w:color w:val="FFFFFF"/>
              </w:rPr>
              <w:t>Increase</w:t>
            </w:r>
          </w:p>
        </w:tc>
      </w:tr>
      <w:tr>
        <w:trPr>
          <w:trHeight w:val="80"/>
        </w:trPr>
        <w:tc>
          <w:tcPr>
            <w:tcW w:w="2980" w:type="dxa"/>
            <w:vAlign w:val="bottom"/>
            <w:shd w:val="clear" w:color="auto" w:fill="42B6E9"/>
          </w:tcPr>
          <w:p>
            <w:pPr>
              <w:spacing w:after="0"/>
              <w:rPr>
                <w:sz w:val="6"/>
                <w:szCs w:val="6"/>
                <w:color w:val="auto"/>
              </w:rPr>
            </w:pPr>
          </w:p>
        </w:tc>
        <w:tc>
          <w:tcPr>
            <w:tcW w:w="3140" w:type="dxa"/>
            <w:vAlign w:val="bottom"/>
            <w:shd w:val="clear" w:color="auto" w:fill="42B6E9"/>
          </w:tcPr>
          <w:p>
            <w:pPr>
              <w:spacing w:after="0"/>
              <w:rPr>
                <w:sz w:val="6"/>
                <w:szCs w:val="6"/>
                <w:color w:val="auto"/>
              </w:rPr>
            </w:pPr>
          </w:p>
        </w:tc>
        <w:tc>
          <w:tcPr>
            <w:tcW w:w="2120" w:type="dxa"/>
            <w:vAlign w:val="bottom"/>
            <w:shd w:val="clear" w:color="auto" w:fill="42B6E9"/>
          </w:tcPr>
          <w:p>
            <w:pPr>
              <w:spacing w:after="0"/>
              <w:rPr>
                <w:sz w:val="6"/>
                <w:szCs w:val="6"/>
                <w:color w:val="auto"/>
              </w:rPr>
            </w:pPr>
          </w:p>
        </w:tc>
        <w:tc>
          <w:tcPr>
            <w:tcW w:w="1320" w:type="dxa"/>
            <w:vAlign w:val="bottom"/>
            <w:shd w:val="clear" w:color="auto" w:fill="42B6E9"/>
          </w:tcPr>
          <w:p>
            <w:pPr>
              <w:spacing w:after="0"/>
              <w:rPr>
                <w:sz w:val="6"/>
                <w:szCs w:val="6"/>
                <w:color w:val="auto"/>
              </w:rPr>
            </w:pPr>
          </w:p>
        </w:tc>
      </w:tr>
      <w:tr>
        <w:trPr>
          <w:trHeight w:val="291"/>
        </w:trPr>
        <w:tc>
          <w:tcPr>
            <w:tcW w:w="298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Mr. Szulczewski</w:t>
            </w:r>
          </w:p>
        </w:tc>
        <w:tc>
          <w:tcPr>
            <w:tcW w:w="3140" w:type="dxa"/>
            <w:vAlign w:val="bottom"/>
            <w:shd w:val="clear" w:color="auto" w:fill="E9F8FD"/>
          </w:tcPr>
          <w:p>
            <w:pPr>
              <w:ind w:left="1820"/>
              <w:spacing w:after="0"/>
              <w:rPr>
                <w:sz w:val="20"/>
                <w:szCs w:val="20"/>
                <w:color w:val="auto"/>
              </w:rPr>
            </w:pPr>
            <w:r>
              <w:rPr>
                <w:rFonts w:ascii="Arial" w:cs="Arial" w:eastAsia="Arial" w:hAnsi="Arial"/>
                <w:sz w:val="16"/>
                <w:szCs w:val="16"/>
                <w:color w:val="42B6E9"/>
              </w:rPr>
              <w:t>$450,000</w:t>
            </w:r>
          </w:p>
        </w:tc>
        <w:tc>
          <w:tcPr>
            <w:tcW w:w="2120" w:type="dxa"/>
            <w:vAlign w:val="bottom"/>
            <w:shd w:val="clear" w:color="auto" w:fill="E9F8FD"/>
          </w:tcPr>
          <w:p>
            <w:pPr>
              <w:jc w:val="right"/>
              <w:ind w:right="402"/>
              <w:spacing w:after="0"/>
              <w:rPr>
                <w:sz w:val="20"/>
                <w:szCs w:val="20"/>
                <w:color w:val="auto"/>
              </w:rPr>
            </w:pPr>
            <w:r>
              <w:rPr>
                <w:rFonts w:ascii="Arial" w:cs="Arial" w:eastAsia="Arial" w:hAnsi="Arial"/>
                <w:sz w:val="16"/>
                <w:szCs w:val="16"/>
                <w:color w:val="42B6E9"/>
              </w:rPr>
              <w:t>$450,000</w:t>
            </w:r>
          </w:p>
        </w:tc>
        <w:tc>
          <w:tcPr>
            <w:tcW w:w="1320" w:type="dxa"/>
            <w:vAlign w:val="bottom"/>
            <w:shd w:val="clear" w:color="auto" w:fill="E9F8FD"/>
          </w:tcPr>
          <w:p>
            <w:pPr>
              <w:jc w:val="right"/>
              <w:ind w:right="42"/>
              <w:spacing w:after="0"/>
              <w:rPr>
                <w:sz w:val="20"/>
                <w:szCs w:val="20"/>
                <w:color w:val="auto"/>
              </w:rPr>
            </w:pPr>
            <w:r>
              <w:rPr>
                <w:rFonts w:ascii="Arial" w:cs="Arial" w:eastAsia="Arial" w:hAnsi="Arial"/>
                <w:sz w:val="16"/>
                <w:szCs w:val="16"/>
                <w:color w:val="42B6E9"/>
              </w:rPr>
              <w:t>—%</w:t>
            </w:r>
          </w:p>
        </w:tc>
      </w:tr>
      <w:tr>
        <w:trPr>
          <w:trHeight w:val="378"/>
        </w:trPr>
        <w:tc>
          <w:tcPr>
            <w:tcW w:w="298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Mr. Bahri</w:t>
            </w:r>
          </w:p>
        </w:tc>
        <w:tc>
          <w:tcPr>
            <w:tcW w:w="3140" w:type="dxa"/>
            <w:vAlign w:val="bottom"/>
            <w:shd w:val="clear" w:color="auto" w:fill="E9F8FD"/>
          </w:tcPr>
          <w:p>
            <w:pPr>
              <w:ind w:left="1820"/>
              <w:spacing w:after="0"/>
              <w:rPr>
                <w:sz w:val="20"/>
                <w:szCs w:val="20"/>
                <w:color w:val="auto"/>
              </w:rPr>
            </w:pPr>
            <w:r>
              <w:rPr>
                <w:rFonts w:ascii="Arial" w:cs="Arial" w:eastAsia="Arial" w:hAnsi="Arial"/>
                <w:sz w:val="16"/>
                <w:szCs w:val="16"/>
                <w:color w:val="42B6E9"/>
              </w:rPr>
              <w:t>$380,000</w:t>
            </w:r>
          </w:p>
        </w:tc>
        <w:tc>
          <w:tcPr>
            <w:tcW w:w="2120" w:type="dxa"/>
            <w:vAlign w:val="bottom"/>
            <w:shd w:val="clear" w:color="auto" w:fill="E9F8FD"/>
          </w:tcPr>
          <w:p>
            <w:pPr>
              <w:jc w:val="right"/>
              <w:ind w:right="402"/>
              <w:spacing w:after="0"/>
              <w:rPr>
                <w:sz w:val="20"/>
                <w:szCs w:val="20"/>
                <w:color w:val="auto"/>
              </w:rPr>
            </w:pPr>
            <w:r>
              <w:rPr>
                <w:rFonts w:ascii="Arial" w:cs="Arial" w:eastAsia="Arial" w:hAnsi="Arial"/>
                <w:sz w:val="16"/>
                <w:szCs w:val="16"/>
                <w:color w:val="42B6E9"/>
              </w:rPr>
              <w:t>$515,000</w:t>
            </w:r>
          </w:p>
        </w:tc>
        <w:tc>
          <w:tcPr>
            <w:tcW w:w="1320" w:type="dxa"/>
            <w:vAlign w:val="bottom"/>
            <w:shd w:val="clear" w:color="auto" w:fill="E9F8FD"/>
          </w:tcPr>
          <w:p>
            <w:pPr>
              <w:jc w:val="right"/>
              <w:ind w:right="22"/>
              <w:spacing w:after="0"/>
              <w:rPr>
                <w:sz w:val="20"/>
                <w:szCs w:val="20"/>
                <w:color w:val="auto"/>
              </w:rPr>
            </w:pPr>
            <w:r>
              <w:rPr>
                <w:rFonts w:ascii="Arial" w:cs="Arial" w:eastAsia="Arial" w:hAnsi="Arial"/>
                <w:sz w:val="16"/>
                <w:szCs w:val="16"/>
                <w:color w:val="42B6E9"/>
              </w:rPr>
              <w:t>35.5%</w:t>
            </w:r>
          </w:p>
        </w:tc>
      </w:tr>
      <w:tr>
        <w:trPr>
          <w:trHeight w:val="378"/>
        </w:trPr>
        <w:tc>
          <w:tcPr>
            <w:tcW w:w="298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Mr. Shah</w:t>
            </w:r>
          </w:p>
        </w:tc>
        <w:tc>
          <w:tcPr>
            <w:tcW w:w="3140" w:type="dxa"/>
            <w:vAlign w:val="bottom"/>
            <w:shd w:val="clear" w:color="auto" w:fill="E9F8FD"/>
          </w:tcPr>
          <w:p>
            <w:pPr>
              <w:ind w:left="1820"/>
              <w:spacing w:after="0"/>
              <w:rPr>
                <w:sz w:val="20"/>
                <w:szCs w:val="20"/>
                <w:color w:val="auto"/>
              </w:rPr>
            </w:pPr>
            <w:r>
              <w:rPr>
                <w:rFonts w:ascii="Arial" w:cs="Arial" w:eastAsia="Arial" w:hAnsi="Arial"/>
                <w:sz w:val="16"/>
                <w:szCs w:val="16"/>
                <w:color w:val="42B6E9"/>
              </w:rPr>
              <w:t>$340,000</w:t>
            </w:r>
          </w:p>
        </w:tc>
        <w:tc>
          <w:tcPr>
            <w:tcW w:w="2120" w:type="dxa"/>
            <w:vAlign w:val="bottom"/>
            <w:shd w:val="clear" w:color="auto" w:fill="E9F8FD"/>
          </w:tcPr>
          <w:p>
            <w:pPr>
              <w:jc w:val="right"/>
              <w:ind w:right="402"/>
              <w:spacing w:after="0"/>
              <w:rPr>
                <w:sz w:val="20"/>
                <w:szCs w:val="20"/>
                <w:color w:val="auto"/>
              </w:rPr>
            </w:pPr>
            <w:r>
              <w:rPr>
                <w:rFonts w:ascii="Arial" w:cs="Arial" w:eastAsia="Arial" w:hAnsi="Arial"/>
                <w:sz w:val="16"/>
                <w:szCs w:val="16"/>
                <w:color w:val="42B6E9"/>
              </w:rPr>
              <w:t>$450,000</w:t>
            </w:r>
          </w:p>
        </w:tc>
        <w:tc>
          <w:tcPr>
            <w:tcW w:w="1320" w:type="dxa"/>
            <w:vAlign w:val="bottom"/>
            <w:shd w:val="clear" w:color="auto" w:fill="E9F8FD"/>
          </w:tcPr>
          <w:p>
            <w:pPr>
              <w:jc w:val="right"/>
              <w:ind w:right="22"/>
              <w:spacing w:after="0"/>
              <w:rPr>
                <w:sz w:val="20"/>
                <w:szCs w:val="20"/>
                <w:color w:val="auto"/>
              </w:rPr>
            </w:pPr>
            <w:r>
              <w:rPr>
                <w:rFonts w:ascii="Arial" w:cs="Arial" w:eastAsia="Arial" w:hAnsi="Arial"/>
                <w:sz w:val="16"/>
                <w:szCs w:val="16"/>
                <w:color w:val="42B6E9"/>
              </w:rPr>
              <w:t>32.3%</w:t>
            </w:r>
          </w:p>
        </w:tc>
      </w:tr>
      <w:tr>
        <w:trPr>
          <w:trHeight w:val="378"/>
        </w:trPr>
        <w:tc>
          <w:tcPr>
            <w:tcW w:w="298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Mr. Chuang</w:t>
            </w:r>
          </w:p>
        </w:tc>
        <w:tc>
          <w:tcPr>
            <w:tcW w:w="3140" w:type="dxa"/>
            <w:vAlign w:val="bottom"/>
            <w:shd w:val="clear" w:color="auto" w:fill="E9F8FD"/>
          </w:tcPr>
          <w:p>
            <w:pPr>
              <w:ind w:left="1820"/>
              <w:spacing w:after="0"/>
              <w:rPr>
                <w:sz w:val="20"/>
                <w:szCs w:val="20"/>
                <w:color w:val="auto"/>
              </w:rPr>
            </w:pPr>
            <w:r>
              <w:rPr>
                <w:rFonts w:ascii="Arial" w:cs="Arial" w:eastAsia="Arial" w:hAnsi="Arial"/>
                <w:sz w:val="16"/>
                <w:szCs w:val="16"/>
                <w:color w:val="42B6E9"/>
              </w:rPr>
              <w:t>$290,000</w:t>
            </w:r>
          </w:p>
        </w:tc>
        <w:tc>
          <w:tcPr>
            <w:tcW w:w="2120" w:type="dxa"/>
            <w:vAlign w:val="bottom"/>
            <w:shd w:val="clear" w:color="auto" w:fill="E9F8FD"/>
          </w:tcPr>
          <w:p>
            <w:pPr>
              <w:jc w:val="right"/>
              <w:ind w:right="402"/>
              <w:spacing w:after="0"/>
              <w:rPr>
                <w:sz w:val="20"/>
                <w:szCs w:val="20"/>
                <w:color w:val="auto"/>
              </w:rPr>
            </w:pPr>
            <w:r>
              <w:rPr>
                <w:rFonts w:ascii="Arial" w:cs="Arial" w:eastAsia="Arial" w:hAnsi="Arial"/>
                <w:sz w:val="16"/>
                <w:szCs w:val="16"/>
                <w:color w:val="42B6E9"/>
              </w:rPr>
              <w:t>$305,000</w:t>
            </w:r>
          </w:p>
        </w:tc>
        <w:tc>
          <w:tcPr>
            <w:tcW w:w="1320" w:type="dxa"/>
            <w:vAlign w:val="bottom"/>
            <w:shd w:val="clear" w:color="auto" w:fill="E9F8FD"/>
          </w:tcPr>
          <w:p>
            <w:pPr>
              <w:jc w:val="right"/>
              <w:ind w:right="42"/>
              <w:spacing w:after="0"/>
              <w:rPr>
                <w:sz w:val="20"/>
                <w:szCs w:val="20"/>
                <w:color w:val="auto"/>
              </w:rPr>
            </w:pPr>
            <w:r>
              <w:rPr>
                <w:rFonts w:ascii="Arial" w:cs="Arial" w:eastAsia="Arial" w:hAnsi="Arial"/>
                <w:sz w:val="16"/>
                <w:szCs w:val="16"/>
                <w:color w:val="42B6E9"/>
              </w:rPr>
              <w:t>5.2%</w:t>
            </w:r>
          </w:p>
        </w:tc>
      </w:tr>
      <w:tr>
        <w:trPr>
          <w:trHeight w:val="438"/>
        </w:trPr>
        <w:tc>
          <w:tcPr>
            <w:tcW w:w="298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Mr. Liu</w:t>
            </w:r>
          </w:p>
        </w:tc>
        <w:tc>
          <w:tcPr>
            <w:tcW w:w="3140" w:type="dxa"/>
            <w:vAlign w:val="bottom"/>
            <w:shd w:val="clear" w:color="auto" w:fill="E9F8FD"/>
          </w:tcPr>
          <w:p>
            <w:pPr>
              <w:ind w:left="1820"/>
              <w:spacing w:after="0"/>
              <w:rPr>
                <w:sz w:val="20"/>
                <w:szCs w:val="20"/>
                <w:color w:val="auto"/>
              </w:rPr>
            </w:pPr>
            <w:r>
              <w:rPr>
                <w:rFonts w:ascii="Arial" w:cs="Arial" w:eastAsia="Arial" w:hAnsi="Arial"/>
                <w:sz w:val="16"/>
                <w:szCs w:val="16"/>
                <w:color w:val="42B6E9"/>
              </w:rPr>
              <w:t>$302,500</w:t>
            </w:r>
            <w:r>
              <w:rPr>
                <w:rFonts w:ascii="Arial" w:cs="Arial" w:eastAsia="Arial" w:hAnsi="Arial"/>
                <w:sz w:val="26"/>
                <w:szCs w:val="26"/>
                <w:color w:val="42B6E9"/>
                <w:vertAlign w:val="superscript"/>
              </w:rPr>
              <w:t>(1)</w:t>
            </w:r>
          </w:p>
        </w:tc>
        <w:tc>
          <w:tcPr>
            <w:tcW w:w="2120" w:type="dxa"/>
            <w:vAlign w:val="bottom"/>
            <w:shd w:val="clear" w:color="auto" w:fill="E9F8FD"/>
          </w:tcPr>
          <w:p>
            <w:pPr>
              <w:jc w:val="right"/>
              <w:ind w:right="402"/>
              <w:spacing w:after="0"/>
              <w:rPr>
                <w:sz w:val="20"/>
                <w:szCs w:val="20"/>
                <w:color w:val="auto"/>
              </w:rPr>
            </w:pPr>
            <w:r>
              <w:rPr>
                <w:rFonts w:ascii="Arial" w:cs="Arial" w:eastAsia="Arial" w:hAnsi="Arial"/>
                <w:sz w:val="16"/>
                <w:szCs w:val="16"/>
                <w:color w:val="42B6E9"/>
              </w:rPr>
              <w:t>$303,000</w:t>
            </w:r>
          </w:p>
        </w:tc>
        <w:tc>
          <w:tcPr>
            <w:tcW w:w="1320" w:type="dxa"/>
            <w:vAlign w:val="bottom"/>
            <w:shd w:val="clear" w:color="auto" w:fill="E9F8FD"/>
          </w:tcPr>
          <w:p>
            <w:pPr>
              <w:jc w:val="right"/>
              <w:ind w:right="42"/>
              <w:spacing w:after="0"/>
              <w:rPr>
                <w:sz w:val="20"/>
                <w:szCs w:val="20"/>
                <w:color w:val="auto"/>
              </w:rPr>
            </w:pPr>
            <w:r>
              <w:rPr>
                <w:rFonts w:ascii="Arial" w:cs="Arial" w:eastAsia="Arial" w:hAnsi="Arial"/>
                <w:sz w:val="16"/>
                <w:szCs w:val="16"/>
                <w:color w:val="42B6E9"/>
              </w:rPr>
              <w:t>—%</w:t>
            </w:r>
          </w:p>
        </w:tc>
      </w:tr>
    </w:tbl>
    <w:p>
      <w:pPr>
        <w:spacing w:after="0" w:line="99" w:lineRule="exact"/>
        <w:rPr>
          <w:sz w:val="20"/>
          <w:szCs w:val="20"/>
          <w:color w:val="auto"/>
        </w:rPr>
      </w:pPr>
    </w:p>
    <w:p>
      <w:pPr>
        <w:ind w:left="344" w:hanging="344"/>
        <w:spacing w:after="0"/>
        <w:tabs>
          <w:tab w:leader="none" w:pos="344"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Reflects a base salary increase effective August 12, 2020 from $275,000 to reflect his appointment as our Vice President of Data Science.</w:t>
      </w:r>
    </w:p>
    <w:p>
      <w:pPr>
        <w:spacing w:after="0" w:line="27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42B6E9"/>
        </w:rPr>
        <w:t>Long-Term Incentive Compensation</w:t>
      </w:r>
    </w:p>
    <w:p>
      <w:pPr>
        <w:spacing w:after="0" w:line="66" w:lineRule="exact"/>
        <w:rPr>
          <w:sz w:val="20"/>
          <w:szCs w:val="20"/>
          <w:color w:val="auto"/>
        </w:rPr>
      </w:pPr>
    </w:p>
    <w:p>
      <w:pPr>
        <w:ind w:left="4" w:right="100"/>
        <w:spacing w:after="0" w:line="250" w:lineRule="auto"/>
        <w:rPr>
          <w:sz w:val="20"/>
          <w:szCs w:val="20"/>
          <w:color w:val="auto"/>
        </w:rPr>
      </w:pPr>
      <w:r>
        <w:rPr>
          <w:rFonts w:ascii="Arial" w:cs="Arial" w:eastAsia="Arial" w:hAnsi="Arial"/>
          <w:sz w:val="16"/>
          <w:szCs w:val="16"/>
          <w:color w:val="auto"/>
        </w:rPr>
        <w:t>In 2020, we used RSU awards as the principal component of our executive compensation program. Consistent with our compensation objectives, we believe this approach aligned our named executive officers’ contributions with our long-term interests and allowed our named executive officers to be accountable for and participate in any future appreciation in our common stock. Prior to our initial public offering, our RSU awards generally included both a multi-year service-based vesting requirement (generally four years) and a liquidity</w:t>
      </w:r>
    </w:p>
    <w:p>
      <w:pPr>
        <w:sectPr>
          <w:pgSz w:w="11900" w:h="16838" w:orient="portrait"/>
          <w:cols w:equalWidth="0" w:num="1">
            <w:col w:w="9584"/>
          </w:cols>
          <w:pgMar w:left="1156" w:top="265" w:right="1159" w:bottom="1440" w:gutter="0" w:footer="0" w:header="0"/>
        </w:sectPr>
      </w:pPr>
    </w:p>
    <w:p>
      <w:pPr>
        <w:spacing w:after="0" w:line="188" w:lineRule="exact"/>
        <w:rPr>
          <w:sz w:val="20"/>
          <w:szCs w:val="20"/>
          <w:color w:val="auto"/>
        </w:rPr>
      </w:pPr>
    </w:p>
    <w:p>
      <w:pPr>
        <w:ind w:left="3344"/>
        <w:spacing w:after="0"/>
        <w:tabs>
          <w:tab w:leader="none" w:pos="9404" w:val="left"/>
        </w:tabs>
        <w:rPr>
          <w:sz w:val="20"/>
          <w:szCs w:val="20"/>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r>
        <w:rPr>
          <w:sz w:val="20"/>
          <w:szCs w:val="20"/>
          <w:color w:val="auto"/>
        </w:rPr>
        <w:tab/>
      </w:r>
      <w:r>
        <w:rPr>
          <w:rFonts w:ascii="Arial" w:cs="Arial" w:eastAsia="Arial" w:hAnsi="Arial"/>
          <w:sz w:val="14"/>
          <w:szCs w:val="14"/>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4"/>
          </w:cols>
          <w:pgMar w:left="1156" w:top="265" w:right="1159" w:bottom="1440" w:gutter="0" w:footer="0" w:header="0"/>
          <w:type w:val="continuous"/>
        </w:sectPr>
      </w:pPr>
    </w:p>
    <w:bookmarkStart w:id="26" w:name="page27"/>
    <w:bookmarkEnd w:id="26"/>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42B6E9"/>
        </w:rPr>
        <w:t>EXECUTIVE COMPENSATION (continued)</w:t>
      </w:r>
    </w:p>
    <w:p>
      <w:pPr>
        <w:spacing w:after="0" w:line="386" w:lineRule="exact"/>
        <w:rPr>
          <w:sz w:val="20"/>
          <w:szCs w:val="20"/>
          <w:color w:val="auto"/>
        </w:rPr>
      </w:pPr>
    </w:p>
    <w:p>
      <w:pPr>
        <w:ind w:left="4" w:right="120"/>
        <w:spacing w:after="0" w:line="253" w:lineRule="auto"/>
        <w:rPr>
          <w:sz w:val="20"/>
          <w:szCs w:val="20"/>
          <w:color w:val="auto"/>
        </w:rPr>
      </w:pPr>
      <w:r>
        <w:rPr>
          <w:rFonts w:ascii="Arial" w:cs="Arial" w:eastAsia="Arial" w:hAnsi="Arial"/>
          <w:sz w:val="16"/>
          <w:szCs w:val="16"/>
          <w:color w:val="auto"/>
        </w:rPr>
        <w:t>event vesting requirement (that is, the effectiveness of either a sale event or an initial public offering) (the “Liquidity Event”), allowing them to serve as an effective retention tool while also motivating our named executive officers to work toward corporate objectives that provide a meaningful return to our stockholders.</w:t>
      </w:r>
    </w:p>
    <w:p>
      <w:pPr>
        <w:spacing w:after="0" w:line="147" w:lineRule="exact"/>
        <w:rPr>
          <w:sz w:val="20"/>
          <w:szCs w:val="20"/>
          <w:color w:val="auto"/>
        </w:rPr>
      </w:pPr>
    </w:p>
    <w:p>
      <w:pPr>
        <w:ind w:left="4" w:right="100"/>
        <w:spacing w:after="0" w:line="249" w:lineRule="auto"/>
        <w:rPr>
          <w:sz w:val="20"/>
          <w:szCs w:val="20"/>
          <w:color w:val="auto"/>
        </w:rPr>
      </w:pPr>
      <w:r>
        <w:rPr>
          <w:rFonts w:ascii="Arial" w:cs="Arial" w:eastAsia="Arial" w:hAnsi="Arial"/>
          <w:sz w:val="16"/>
          <w:szCs w:val="16"/>
          <w:color w:val="auto"/>
        </w:rPr>
        <w:t>In granting equity awards, our Board of Directors generally considers, among other things, the named executive officer’s cash compensation, the need to create a meaningful opportunity for reward predicated on the creation of long-term stockholder value, our financial results, our total annual equity budget, an evaluation of the expected and actual performance of each named executive officer, his individual contributions and responsibilities, the retention hold of his existing equity awards and how that lapses over time as awards vest, and the recommendations of our CEO (except with respect to his own equity award) which take into account peer market data from Compensia and internal pay parity considerations.</w:t>
      </w:r>
    </w:p>
    <w:p>
      <w:pPr>
        <w:spacing w:after="0" w:line="34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42B6E9"/>
        </w:rPr>
        <w:t>Annual Refresh Grants in 2020</w:t>
      </w:r>
    </w:p>
    <w:p>
      <w:pPr>
        <w:spacing w:after="0" w:line="66" w:lineRule="exact"/>
        <w:rPr>
          <w:sz w:val="20"/>
          <w:szCs w:val="20"/>
          <w:color w:val="auto"/>
        </w:rPr>
      </w:pPr>
    </w:p>
    <w:p>
      <w:pPr>
        <w:ind w:left="4" w:right="400"/>
        <w:spacing w:after="0" w:line="253" w:lineRule="auto"/>
        <w:rPr>
          <w:sz w:val="20"/>
          <w:szCs w:val="20"/>
          <w:color w:val="auto"/>
        </w:rPr>
      </w:pPr>
      <w:r>
        <w:rPr>
          <w:rFonts w:ascii="Arial" w:cs="Arial" w:eastAsia="Arial" w:hAnsi="Arial"/>
          <w:sz w:val="16"/>
          <w:szCs w:val="16"/>
          <w:color w:val="auto"/>
        </w:rPr>
        <w:t>As part of our annual performance review cycle and in conjunction with our initial public offering, our Compensation Committee reviewed the factors described above and determined to recommend to our Board of Directors that our named executive officers other than Mr. Szulczewski be granted RSU awards.</w:t>
      </w:r>
    </w:p>
    <w:p>
      <w:pPr>
        <w:spacing w:after="0" w:line="215"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RSU awards granted to our named executive officers other than Mr. Szulczewski were in the following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104775</wp:posOffset>
            </wp:positionV>
            <wp:extent cx="6077585" cy="13887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77585" cy="1388745"/>
                    </a:xfrm>
                    <a:prstGeom prst="rect">
                      <a:avLst/>
                    </a:prstGeom>
                    <a:noFill/>
                  </pic:spPr>
                </pic:pic>
              </a:graphicData>
            </a:graphic>
          </wp:anchor>
        </w:drawing>
      </w:r>
    </w:p>
    <w:p>
      <w:pPr>
        <w:spacing w:after="0" w:line="145"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5660" w:type="dxa"/>
            <w:vAlign w:val="bottom"/>
            <w:shd w:val="clear" w:color="auto" w:fill="42B6E9"/>
          </w:tcPr>
          <w:p>
            <w:pPr>
              <w:spacing w:after="0"/>
              <w:rPr>
                <w:sz w:val="22"/>
                <w:szCs w:val="22"/>
                <w:color w:val="auto"/>
              </w:rPr>
            </w:pPr>
          </w:p>
        </w:tc>
        <w:tc>
          <w:tcPr>
            <w:tcW w:w="2080" w:type="dxa"/>
            <w:vAlign w:val="bottom"/>
            <w:shd w:val="clear" w:color="auto" w:fill="42B6E9"/>
          </w:tcPr>
          <w:p>
            <w:pPr>
              <w:jc w:val="right"/>
              <w:ind w:right="183"/>
              <w:spacing w:after="0"/>
              <w:rPr>
                <w:sz w:val="20"/>
                <w:szCs w:val="20"/>
                <w:color w:val="auto"/>
              </w:rPr>
            </w:pPr>
            <w:r>
              <w:rPr>
                <w:rFonts w:ascii="Arial" w:cs="Arial" w:eastAsia="Arial" w:hAnsi="Arial"/>
                <w:sz w:val="14"/>
                <w:szCs w:val="14"/>
                <w:b w:val="1"/>
                <w:bCs w:val="1"/>
                <w:color w:val="FFFFFF"/>
              </w:rPr>
              <w:t>RSU Award</w:t>
            </w:r>
          </w:p>
        </w:tc>
        <w:tc>
          <w:tcPr>
            <w:tcW w:w="1820" w:type="dxa"/>
            <w:vAlign w:val="bottom"/>
            <w:shd w:val="clear" w:color="auto" w:fill="42B6E9"/>
          </w:tcPr>
          <w:p>
            <w:pPr>
              <w:spacing w:after="0"/>
              <w:rPr>
                <w:sz w:val="22"/>
                <w:szCs w:val="22"/>
                <w:color w:val="auto"/>
              </w:rPr>
            </w:pPr>
          </w:p>
        </w:tc>
      </w:tr>
      <w:tr>
        <w:trPr>
          <w:trHeight w:val="162"/>
        </w:trPr>
        <w:tc>
          <w:tcPr>
            <w:tcW w:w="5660" w:type="dxa"/>
            <w:vAlign w:val="bottom"/>
            <w:shd w:val="clear" w:color="auto" w:fill="42B6E9"/>
          </w:tcPr>
          <w:p>
            <w:pPr>
              <w:spacing w:after="0"/>
              <w:rPr>
                <w:sz w:val="14"/>
                <w:szCs w:val="14"/>
                <w:color w:val="auto"/>
              </w:rPr>
            </w:pPr>
          </w:p>
        </w:tc>
        <w:tc>
          <w:tcPr>
            <w:tcW w:w="2080" w:type="dxa"/>
            <w:vAlign w:val="bottom"/>
            <w:shd w:val="clear" w:color="auto" w:fill="42B6E9"/>
          </w:tcPr>
          <w:p>
            <w:pPr>
              <w:jc w:val="right"/>
              <w:ind w:right="183"/>
              <w:spacing w:after="0"/>
              <w:rPr>
                <w:sz w:val="20"/>
                <w:szCs w:val="20"/>
                <w:color w:val="auto"/>
              </w:rPr>
            </w:pPr>
            <w:r>
              <w:rPr>
                <w:rFonts w:ascii="Arial" w:cs="Arial" w:eastAsia="Arial" w:hAnsi="Arial"/>
                <w:sz w:val="14"/>
                <w:szCs w:val="14"/>
                <w:b w:val="1"/>
                <w:bCs w:val="1"/>
                <w:color w:val="FFFFFF"/>
              </w:rPr>
              <w:t>(number of</w:t>
            </w:r>
          </w:p>
        </w:tc>
        <w:tc>
          <w:tcPr>
            <w:tcW w:w="1820" w:type="dxa"/>
            <w:vAlign w:val="bottom"/>
            <w:shd w:val="clear" w:color="auto" w:fill="42B6E9"/>
          </w:tcPr>
          <w:p>
            <w:pPr>
              <w:jc w:val="right"/>
              <w:ind w:right="22"/>
              <w:spacing w:after="0"/>
              <w:rPr>
                <w:sz w:val="20"/>
                <w:szCs w:val="20"/>
                <w:color w:val="auto"/>
              </w:rPr>
            </w:pPr>
            <w:r>
              <w:rPr>
                <w:rFonts w:ascii="Arial" w:cs="Arial" w:eastAsia="Arial" w:hAnsi="Arial"/>
                <w:sz w:val="14"/>
                <w:szCs w:val="14"/>
                <w:b w:val="1"/>
                <w:bCs w:val="1"/>
                <w:color w:val="FFFFFF"/>
              </w:rPr>
              <w:t>RSU Award</w:t>
            </w:r>
          </w:p>
        </w:tc>
      </w:tr>
      <w:tr>
        <w:trPr>
          <w:trHeight w:val="190"/>
        </w:trPr>
        <w:tc>
          <w:tcPr>
            <w:tcW w:w="5660" w:type="dxa"/>
            <w:vAlign w:val="bottom"/>
            <w:shd w:val="clear" w:color="auto" w:fill="42B6E9"/>
          </w:tcPr>
          <w:p>
            <w:pPr>
              <w:ind w:left="80"/>
              <w:spacing w:after="0"/>
              <w:rPr>
                <w:sz w:val="20"/>
                <w:szCs w:val="20"/>
                <w:color w:val="auto"/>
              </w:rPr>
            </w:pPr>
            <w:r>
              <w:rPr>
                <w:rFonts w:ascii="Arial" w:cs="Arial" w:eastAsia="Arial" w:hAnsi="Arial"/>
                <w:sz w:val="14"/>
                <w:szCs w:val="14"/>
                <w:b w:val="1"/>
                <w:bCs w:val="1"/>
                <w:color w:val="FFFFFF"/>
              </w:rPr>
              <w:t>Named Executive Officer</w:t>
            </w:r>
          </w:p>
        </w:tc>
        <w:tc>
          <w:tcPr>
            <w:tcW w:w="2080" w:type="dxa"/>
            <w:vAlign w:val="bottom"/>
            <w:shd w:val="clear" w:color="auto" w:fill="42B6E9"/>
          </w:tcPr>
          <w:p>
            <w:pPr>
              <w:jc w:val="right"/>
              <w:ind w:right="183"/>
              <w:spacing w:after="0"/>
              <w:rPr>
                <w:sz w:val="20"/>
                <w:szCs w:val="20"/>
                <w:color w:val="auto"/>
              </w:rPr>
            </w:pPr>
            <w:r>
              <w:rPr>
                <w:rFonts w:ascii="Arial" w:cs="Arial" w:eastAsia="Arial" w:hAnsi="Arial"/>
                <w:sz w:val="14"/>
                <w:szCs w:val="14"/>
                <w:b w:val="1"/>
                <w:bCs w:val="1"/>
                <w:color w:val="FFFFFF"/>
              </w:rPr>
              <w:t>shares)</w:t>
            </w:r>
          </w:p>
        </w:tc>
        <w:tc>
          <w:tcPr>
            <w:tcW w:w="1820" w:type="dxa"/>
            <w:vAlign w:val="bottom"/>
            <w:shd w:val="clear" w:color="auto" w:fill="42B6E9"/>
          </w:tcPr>
          <w:p>
            <w:pPr>
              <w:jc w:val="right"/>
              <w:ind w:right="22"/>
              <w:spacing w:after="0"/>
              <w:rPr>
                <w:sz w:val="20"/>
                <w:szCs w:val="20"/>
                <w:color w:val="auto"/>
              </w:rPr>
            </w:pPr>
            <w:r>
              <w:rPr>
                <w:rFonts w:ascii="Arial" w:cs="Arial" w:eastAsia="Arial" w:hAnsi="Arial"/>
                <w:sz w:val="14"/>
                <w:szCs w:val="14"/>
                <w:b w:val="1"/>
                <w:bCs w:val="1"/>
                <w:color w:val="FFFFFF"/>
              </w:rPr>
              <w:t>(grant date fair value)</w:t>
            </w:r>
          </w:p>
        </w:tc>
      </w:tr>
      <w:tr>
        <w:trPr>
          <w:trHeight w:val="80"/>
        </w:trPr>
        <w:tc>
          <w:tcPr>
            <w:tcW w:w="5660" w:type="dxa"/>
            <w:vAlign w:val="bottom"/>
            <w:shd w:val="clear" w:color="auto" w:fill="42B6E9"/>
          </w:tcPr>
          <w:p>
            <w:pPr>
              <w:spacing w:after="0"/>
              <w:rPr>
                <w:sz w:val="6"/>
                <w:szCs w:val="6"/>
                <w:color w:val="auto"/>
              </w:rPr>
            </w:pPr>
          </w:p>
        </w:tc>
        <w:tc>
          <w:tcPr>
            <w:tcW w:w="2080" w:type="dxa"/>
            <w:vAlign w:val="bottom"/>
            <w:shd w:val="clear" w:color="auto" w:fill="42B6E9"/>
          </w:tcPr>
          <w:p>
            <w:pPr>
              <w:spacing w:after="0"/>
              <w:rPr>
                <w:sz w:val="6"/>
                <w:szCs w:val="6"/>
                <w:color w:val="auto"/>
              </w:rPr>
            </w:pPr>
          </w:p>
        </w:tc>
        <w:tc>
          <w:tcPr>
            <w:tcW w:w="1820" w:type="dxa"/>
            <w:vAlign w:val="bottom"/>
            <w:shd w:val="clear" w:color="auto" w:fill="42B6E9"/>
          </w:tcPr>
          <w:p>
            <w:pPr>
              <w:spacing w:after="0"/>
              <w:rPr>
                <w:sz w:val="6"/>
                <w:szCs w:val="6"/>
                <w:color w:val="auto"/>
              </w:rPr>
            </w:pPr>
          </w:p>
        </w:tc>
      </w:tr>
      <w:tr>
        <w:trPr>
          <w:trHeight w:val="291"/>
        </w:trPr>
        <w:tc>
          <w:tcPr>
            <w:tcW w:w="5660" w:type="dxa"/>
            <w:vAlign w:val="bottom"/>
            <w:shd w:val="clear" w:color="auto" w:fill="E9F8FD"/>
          </w:tcPr>
          <w:p>
            <w:pPr>
              <w:ind w:left="80"/>
              <w:spacing w:after="0"/>
              <w:rPr>
                <w:sz w:val="20"/>
                <w:szCs w:val="20"/>
                <w:color w:val="auto"/>
              </w:rPr>
            </w:pPr>
            <w:r>
              <w:rPr>
                <w:rFonts w:ascii="Arial" w:cs="Arial" w:eastAsia="Arial" w:hAnsi="Arial"/>
                <w:sz w:val="16"/>
                <w:szCs w:val="16"/>
                <w:color w:val="42B6E9"/>
              </w:rPr>
              <w:t>Mr. Bahri</w:t>
            </w:r>
          </w:p>
        </w:tc>
        <w:tc>
          <w:tcPr>
            <w:tcW w:w="2080" w:type="dxa"/>
            <w:vAlign w:val="bottom"/>
            <w:shd w:val="clear" w:color="auto" w:fill="E9F8FD"/>
          </w:tcPr>
          <w:p>
            <w:pPr>
              <w:jc w:val="right"/>
              <w:ind w:right="203"/>
              <w:spacing w:after="0"/>
              <w:rPr>
                <w:sz w:val="20"/>
                <w:szCs w:val="20"/>
                <w:color w:val="auto"/>
              </w:rPr>
            </w:pPr>
            <w:r>
              <w:rPr>
                <w:rFonts w:ascii="Arial" w:cs="Arial" w:eastAsia="Arial" w:hAnsi="Arial"/>
                <w:sz w:val="16"/>
                <w:szCs w:val="16"/>
                <w:color w:val="42B6E9"/>
              </w:rPr>
              <w:t>250,000</w:t>
            </w:r>
          </w:p>
        </w:tc>
        <w:tc>
          <w:tcPr>
            <w:tcW w:w="1820" w:type="dxa"/>
            <w:vAlign w:val="bottom"/>
            <w:shd w:val="clear" w:color="auto" w:fill="E9F8FD"/>
          </w:tcPr>
          <w:p>
            <w:pPr>
              <w:jc w:val="right"/>
              <w:ind w:right="42"/>
              <w:spacing w:after="0"/>
              <w:rPr>
                <w:sz w:val="20"/>
                <w:szCs w:val="20"/>
                <w:color w:val="auto"/>
              </w:rPr>
            </w:pPr>
            <w:r>
              <w:rPr>
                <w:rFonts w:ascii="Arial" w:cs="Arial" w:eastAsia="Arial" w:hAnsi="Arial"/>
                <w:sz w:val="16"/>
                <w:szCs w:val="16"/>
                <w:color w:val="42B6E9"/>
              </w:rPr>
              <w:t>$4,092,250</w:t>
            </w:r>
          </w:p>
        </w:tc>
      </w:tr>
      <w:tr>
        <w:trPr>
          <w:trHeight w:val="378"/>
        </w:trPr>
        <w:tc>
          <w:tcPr>
            <w:tcW w:w="5660" w:type="dxa"/>
            <w:vAlign w:val="bottom"/>
            <w:shd w:val="clear" w:color="auto" w:fill="E9F8FD"/>
          </w:tcPr>
          <w:p>
            <w:pPr>
              <w:ind w:left="80"/>
              <w:spacing w:after="0"/>
              <w:rPr>
                <w:sz w:val="20"/>
                <w:szCs w:val="20"/>
                <w:color w:val="auto"/>
              </w:rPr>
            </w:pPr>
            <w:r>
              <w:rPr>
                <w:rFonts w:ascii="Arial" w:cs="Arial" w:eastAsia="Arial" w:hAnsi="Arial"/>
                <w:sz w:val="16"/>
                <w:szCs w:val="16"/>
                <w:color w:val="42B6E9"/>
              </w:rPr>
              <w:t>Mr. Shah</w:t>
            </w:r>
          </w:p>
        </w:tc>
        <w:tc>
          <w:tcPr>
            <w:tcW w:w="2080" w:type="dxa"/>
            <w:vAlign w:val="bottom"/>
            <w:shd w:val="clear" w:color="auto" w:fill="E9F8FD"/>
          </w:tcPr>
          <w:p>
            <w:pPr>
              <w:jc w:val="right"/>
              <w:ind w:right="203"/>
              <w:spacing w:after="0"/>
              <w:rPr>
                <w:sz w:val="20"/>
                <w:szCs w:val="20"/>
                <w:color w:val="auto"/>
              </w:rPr>
            </w:pPr>
            <w:r>
              <w:rPr>
                <w:rFonts w:ascii="Arial" w:cs="Arial" w:eastAsia="Arial" w:hAnsi="Arial"/>
                <w:sz w:val="16"/>
                <w:szCs w:val="16"/>
                <w:color w:val="42B6E9"/>
              </w:rPr>
              <w:t>250,000</w:t>
            </w:r>
          </w:p>
        </w:tc>
        <w:tc>
          <w:tcPr>
            <w:tcW w:w="1820" w:type="dxa"/>
            <w:vAlign w:val="bottom"/>
            <w:shd w:val="clear" w:color="auto" w:fill="E9F8FD"/>
          </w:tcPr>
          <w:p>
            <w:pPr>
              <w:jc w:val="right"/>
              <w:ind w:right="42"/>
              <w:spacing w:after="0"/>
              <w:rPr>
                <w:sz w:val="20"/>
                <w:szCs w:val="20"/>
                <w:color w:val="auto"/>
              </w:rPr>
            </w:pPr>
            <w:r>
              <w:rPr>
                <w:rFonts w:ascii="Arial" w:cs="Arial" w:eastAsia="Arial" w:hAnsi="Arial"/>
                <w:sz w:val="16"/>
                <w:szCs w:val="16"/>
                <w:color w:val="42B6E9"/>
              </w:rPr>
              <w:t>$4,092,250</w:t>
            </w:r>
          </w:p>
        </w:tc>
      </w:tr>
      <w:tr>
        <w:trPr>
          <w:trHeight w:val="378"/>
        </w:trPr>
        <w:tc>
          <w:tcPr>
            <w:tcW w:w="5660" w:type="dxa"/>
            <w:vAlign w:val="bottom"/>
            <w:shd w:val="clear" w:color="auto" w:fill="E9F8FD"/>
          </w:tcPr>
          <w:p>
            <w:pPr>
              <w:ind w:left="80"/>
              <w:spacing w:after="0"/>
              <w:rPr>
                <w:sz w:val="20"/>
                <w:szCs w:val="20"/>
                <w:color w:val="auto"/>
              </w:rPr>
            </w:pPr>
            <w:r>
              <w:rPr>
                <w:rFonts w:ascii="Arial" w:cs="Arial" w:eastAsia="Arial" w:hAnsi="Arial"/>
                <w:sz w:val="16"/>
                <w:szCs w:val="16"/>
                <w:color w:val="42B6E9"/>
              </w:rPr>
              <w:t>Mr. Chuang</w:t>
            </w:r>
          </w:p>
        </w:tc>
        <w:tc>
          <w:tcPr>
            <w:tcW w:w="2080" w:type="dxa"/>
            <w:vAlign w:val="bottom"/>
            <w:shd w:val="clear" w:color="auto" w:fill="E9F8FD"/>
          </w:tcPr>
          <w:p>
            <w:pPr>
              <w:jc w:val="right"/>
              <w:ind w:right="203"/>
              <w:spacing w:after="0"/>
              <w:rPr>
                <w:sz w:val="20"/>
                <w:szCs w:val="20"/>
                <w:color w:val="auto"/>
              </w:rPr>
            </w:pPr>
            <w:r>
              <w:rPr>
                <w:rFonts w:ascii="Arial" w:cs="Arial" w:eastAsia="Arial" w:hAnsi="Arial"/>
                <w:sz w:val="16"/>
                <w:szCs w:val="16"/>
                <w:color w:val="42B6E9"/>
              </w:rPr>
              <w:t>100,000</w:t>
            </w:r>
          </w:p>
        </w:tc>
        <w:tc>
          <w:tcPr>
            <w:tcW w:w="1820" w:type="dxa"/>
            <w:vAlign w:val="bottom"/>
            <w:shd w:val="clear" w:color="auto" w:fill="E9F8FD"/>
          </w:tcPr>
          <w:p>
            <w:pPr>
              <w:jc w:val="right"/>
              <w:ind w:right="42"/>
              <w:spacing w:after="0"/>
              <w:rPr>
                <w:sz w:val="20"/>
                <w:szCs w:val="20"/>
                <w:color w:val="auto"/>
              </w:rPr>
            </w:pPr>
            <w:r>
              <w:rPr>
                <w:rFonts w:ascii="Arial" w:cs="Arial" w:eastAsia="Arial" w:hAnsi="Arial"/>
                <w:sz w:val="16"/>
                <w:szCs w:val="16"/>
                <w:color w:val="42B6E9"/>
              </w:rPr>
              <w:t>$1,636,900</w:t>
            </w:r>
          </w:p>
        </w:tc>
      </w:tr>
      <w:tr>
        <w:trPr>
          <w:trHeight w:val="378"/>
        </w:trPr>
        <w:tc>
          <w:tcPr>
            <w:tcW w:w="5660" w:type="dxa"/>
            <w:vAlign w:val="bottom"/>
            <w:shd w:val="clear" w:color="auto" w:fill="E9F8FD"/>
          </w:tcPr>
          <w:p>
            <w:pPr>
              <w:ind w:left="80"/>
              <w:spacing w:after="0"/>
              <w:rPr>
                <w:sz w:val="20"/>
                <w:szCs w:val="20"/>
                <w:color w:val="auto"/>
              </w:rPr>
            </w:pPr>
            <w:r>
              <w:rPr>
                <w:rFonts w:ascii="Arial" w:cs="Arial" w:eastAsia="Arial" w:hAnsi="Arial"/>
                <w:sz w:val="16"/>
                <w:szCs w:val="16"/>
                <w:color w:val="42B6E9"/>
              </w:rPr>
              <w:t>Mr. Liu</w:t>
            </w:r>
          </w:p>
        </w:tc>
        <w:tc>
          <w:tcPr>
            <w:tcW w:w="2080" w:type="dxa"/>
            <w:vAlign w:val="bottom"/>
            <w:shd w:val="clear" w:color="auto" w:fill="E9F8FD"/>
          </w:tcPr>
          <w:p>
            <w:pPr>
              <w:jc w:val="right"/>
              <w:ind w:right="203"/>
              <w:spacing w:after="0"/>
              <w:rPr>
                <w:sz w:val="20"/>
                <w:szCs w:val="20"/>
                <w:color w:val="auto"/>
              </w:rPr>
            </w:pPr>
            <w:r>
              <w:rPr>
                <w:rFonts w:ascii="Arial" w:cs="Arial" w:eastAsia="Arial" w:hAnsi="Arial"/>
                <w:sz w:val="16"/>
                <w:szCs w:val="16"/>
                <w:color w:val="42B6E9"/>
              </w:rPr>
              <w:t>117,950</w:t>
            </w:r>
          </w:p>
        </w:tc>
        <w:tc>
          <w:tcPr>
            <w:tcW w:w="1820" w:type="dxa"/>
            <w:vAlign w:val="bottom"/>
            <w:shd w:val="clear" w:color="auto" w:fill="E9F8FD"/>
          </w:tcPr>
          <w:p>
            <w:pPr>
              <w:jc w:val="right"/>
              <w:ind w:right="42"/>
              <w:spacing w:after="0"/>
              <w:rPr>
                <w:sz w:val="20"/>
                <w:szCs w:val="20"/>
                <w:color w:val="auto"/>
              </w:rPr>
            </w:pPr>
            <w:r>
              <w:rPr>
                <w:rFonts w:ascii="Arial" w:cs="Arial" w:eastAsia="Arial" w:hAnsi="Arial"/>
                <w:sz w:val="16"/>
                <w:szCs w:val="16"/>
                <w:color w:val="42B6E9"/>
              </w:rPr>
              <w:t>$1,930,724</w:t>
            </w:r>
          </w:p>
        </w:tc>
      </w:tr>
      <w:tr>
        <w:trPr>
          <w:trHeight w:val="60"/>
        </w:trPr>
        <w:tc>
          <w:tcPr>
            <w:tcW w:w="5660" w:type="dxa"/>
            <w:vAlign w:val="bottom"/>
            <w:shd w:val="clear" w:color="auto" w:fill="E9F8FD"/>
          </w:tcPr>
          <w:p>
            <w:pPr>
              <w:spacing w:after="0"/>
              <w:rPr>
                <w:sz w:val="5"/>
                <w:szCs w:val="5"/>
                <w:color w:val="auto"/>
              </w:rPr>
            </w:pPr>
          </w:p>
        </w:tc>
        <w:tc>
          <w:tcPr>
            <w:tcW w:w="2080" w:type="dxa"/>
            <w:vAlign w:val="bottom"/>
            <w:shd w:val="clear" w:color="auto" w:fill="E9F8FD"/>
          </w:tcPr>
          <w:p>
            <w:pPr>
              <w:spacing w:after="0"/>
              <w:rPr>
                <w:sz w:val="5"/>
                <w:szCs w:val="5"/>
                <w:color w:val="auto"/>
              </w:rPr>
            </w:pPr>
          </w:p>
        </w:tc>
        <w:tc>
          <w:tcPr>
            <w:tcW w:w="1820" w:type="dxa"/>
            <w:vAlign w:val="bottom"/>
            <w:shd w:val="clear" w:color="auto" w:fill="E9F8FD"/>
          </w:tcPr>
          <w:p>
            <w:pPr>
              <w:spacing w:after="0"/>
              <w:rPr>
                <w:sz w:val="5"/>
                <w:szCs w:val="5"/>
                <w:color w:val="auto"/>
              </w:rPr>
            </w:pPr>
          </w:p>
        </w:tc>
      </w:tr>
    </w:tbl>
    <w:p>
      <w:pPr>
        <w:spacing w:after="0" w:line="177" w:lineRule="exact"/>
        <w:rPr>
          <w:sz w:val="20"/>
          <w:szCs w:val="20"/>
          <w:color w:val="auto"/>
        </w:rPr>
      </w:pPr>
    </w:p>
    <w:p>
      <w:pPr>
        <w:ind w:left="4" w:right="220"/>
        <w:spacing w:after="0" w:line="251" w:lineRule="auto"/>
        <w:rPr>
          <w:sz w:val="20"/>
          <w:szCs w:val="20"/>
          <w:color w:val="auto"/>
        </w:rPr>
      </w:pPr>
      <w:r>
        <w:rPr>
          <w:rFonts w:ascii="Arial" w:cs="Arial" w:eastAsia="Arial" w:hAnsi="Arial"/>
          <w:sz w:val="16"/>
          <w:szCs w:val="16"/>
          <w:color w:val="auto"/>
        </w:rPr>
        <w:t>These annual “refresh” awards vest (i) monthly over a four-year period, contingent upon the named executive officer remaining continuously employed by us through each applicable vesting date and (ii) subject to the occurrence of a Liquidity Event. Our initial public offering in December 2020 resulted in the satisfaction of the Liquidity Event requirement for the RSUs granted in September 2020 to our named executive officers.</w:t>
      </w:r>
    </w:p>
    <w:p>
      <w:pPr>
        <w:spacing w:after="0" w:line="148" w:lineRule="exact"/>
        <w:rPr>
          <w:sz w:val="20"/>
          <w:szCs w:val="20"/>
          <w:color w:val="auto"/>
        </w:rPr>
      </w:pPr>
    </w:p>
    <w:p>
      <w:pPr>
        <w:ind w:left="4" w:right="60"/>
        <w:spacing w:after="0" w:line="251" w:lineRule="auto"/>
        <w:rPr>
          <w:sz w:val="20"/>
          <w:szCs w:val="20"/>
          <w:color w:val="auto"/>
        </w:rPr>
      </w:pPr>
      <w:r>
        <w:rPr>
          <w:rFonts w:ascii="Arial" w:cs="Arial" w:eastAsia="Arial" w:hAnsi="Arial"/>
          <w:sz w:val="16"/>
          <w:szCs w:val="16"/>
          <w:color w:val="auto"/>
        </w:rPr>
        <w:t>Information with respect to the potential accelerated vesting applied to the equity awards held by certain of our named executive officers in the event of a change of control of our Company or the termination of the named executive officer’s services in connection with or following a change of control of our company is discussed under “Potential Payments upon Termination or Change in Control” below.</w:t>
      </w:r>
    </w:p>
    <w:p>
      <w:pPr>
        <w:spacing w:after="0" w:line="34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42B6E9"/>
        </w:rPr>
        <w:t>CEO Performance Award</w:t>
      </w:r>
    </w:p>
    <w:p>
      <w:pPr>
        <w:spacing w:after="0" w:line="66" w:lineRule="exact"/>
        <w:rPr>
          <w:sz w:val="20"/>
          <w:szCs w:val="20"/>
          <w:color w:val="auto"/>
        </w:rPr>
      </w:pPr>
    </w:p>
    <w:p>
      <w:pPr>
        <w:ind w:left="4"/>
        <w:spacing w:after="0" w:line="248" w:lineRule="auto"/>
        <w:rPr>
          <w:sz w:val="20"/>
          <w:szCs w:val="20"/>
          <w:color w:val="auto"/>
        </w:rPr>
      </w:pPr>
      <w:r>
        <w:rPr>
          <w:rFonts w:ascii="Arial" w:cs="Arial" w:eastAsia="Arial" w:hAnsi="Arial"/>
          <w:sz w:val="16"/>
          <w:szCs w:val="16"/>
          <w:color w:val="auto"/>
        </w:rPr>
        <w:t>In December 2020, in conjunction with our initial public offering, Mr. Szulczewski was granted an award of RSUs under our 2010 Stock Plan covering 10,021,500 shares of our Class B common stock (the “CEO Performance Award”). The CEO Performance Award is intended to provide retention, incentive and stockholder alignment objectives for Mr. Szulczewski and only is earned and vests if he satisfies a service-based vesting condition and we achieve certain rigorous stock price targets over a period of up to seven years following our initial public offering. Our Board of Directors and our Compensation Committee both believed at the time of grant of the CEO Performance Award that the stock price targets represented challenging hurdles and, if achieved, would result in a significant return to our stockholders in excess of market norms for comparable technology companies.</w:t>
      </w:r>
    </w:p>
    <w:p>
      <w:pPr>
        <w:spacing w:after="0" w:line="154" w:lineRule="exact"/>
        <w:rPr>
          <w:sz w:val="20"/>
          <w:szCs w:val="20"/>
          <w:color w:val="auto"/>
        </w:rPr>
      </w:pPr>
    </w:p>
    <w:p>
      <w:pPr>
        <w:ind w:left="4" w:right="100"/>
        <w:spacing w:after="0" w:line="249" w:lineRule="auto"/>
        <w:rPr>
          <w:sz w:val="20"/>
          <w:szCs w:val="20"/>
          <w:color w:val="auto"/>
        </w:rPr>
      </w:pPr>
      <w:r>
        <w:rPr>
          <w:rFonts w:ascii="Arial" w:cs="Arial" w:eastAsia="Arial" w:hAnsi="Arial"/>
          <w:sz w:val="16"/>
          <w:szCs w:val="16"/>
          <w:color w:val="auto"/>
        </w:rPr>
        <w:t>The CEO Performance Award is eligible to vest based on our stock price performance over a performance period beginning six months after the effective date of our initial public offering and ending on the seventh anniversary thereof. The award is divided into five tranches that are eligible to vest based on the achievement of stock price targets (each referred to as a “Company Stock Price Target”) measured based on the 60-trading day trailing average per-share closing price of our Class A common stock on the Nasdaq Global Select Market during the performance period, as set forth below. The Company Stock Price Targets are expressed as a percentage increase above $23 per share (such price, the “Base Price” of the award).</w:t>
      </w:r>
    </w:p>
    <w:p>
      <w:pPr>
        <w:spacing w:after="0" w:line="190" w:lineRule="exact"/>
        <w:rPr>
          <w:sz w:val="20"/>
          <w:szCs w:val="20"/>
          <w:color w:val="auto"/>
        </w:rPr>
      </w:pPr>
    </w:p>
    <w:p>
      <w:pPr>
        <w:ind w:left="524" w:hanging="524"/>
        <w:spacing w:after="0"/>
        <w:tabs>
          <w:tab w:leader="none" w:pos="524"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27" w:name="page28"/>
    <w:bookmarkEnd w:id="27"/>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42B6E9"/>
        </w:rPr>
        <w:t>EXECUTIVE COMPENSATION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243840</wp:posOffset>
            </wp:positionV>
            <wp:extent cx="6077585" cy="1937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77585" cy="1937385"/>
                    </a:xfrm>
                    <a:prstGeom prst="rect">
                      <a:avLst/>
                    </a:prstGeom>
                    <a:noFill/>
                  </pic:spPr>
                </pic:pic>
              </a:graphicData>
            </a:graphic>
          </wp:anchor>
        </w:drawing>
      </w:r>
    </w:p>
    <w:p>
      <w:pPr>
        <w:spacing w:after="0" w:line="364" w:lineRule="exact"/>
        <w:rPr>
          <w:sz w:val="20"/>
          <w:szCs w:val="20"/>
          <w:color w:val="auto"/>
        </w:rPr>
      </w:pPr>
    </w:p>
    <w:tbl>
      <w:tblPr>
        <w:tblLayout w:type="fixed"/>
        <w:tblInd w:w="720" w:type="dxa"/>
        <w:tblCellMar>
          <w:top w:w="0" w:type="dxa"/>
          <w:left w:w="0" w:type="dxa"/>
          <w:bottom w:w="0" w:type="dxa"/>
          <w:right w:w="0" w:type="dxa"/>
        </w:tblCellMar>
      </w:tblPr>
      <w:tr>
        <w:trPr>
          <w:trHeight w:val="257"/>
        </w:trPr>
        <w:tc>
          <w:tcPr>
            <w:tcW w:w="3940" w:type="dxa"/>
            <w:vAlign w:val="bottom"/>
            <w:shd w:val="clear" w:color="auto" w:fill="42B6E9"/>
          </w:tcPr>
          <w:p>
            <w:pPr>
              <w:spacing w:after="0"/>
              <w:rPr>
                <w:sz w:val="22"/>
                <w:szCs w:val="22"/>
                <w:color w:val="auto"/>
              </w:rPr>
            </w:pPr>
          </w:p>
        </w:tc>
        <w:tc>
          <w:tcPr>
            <w:tcW w:w="1840" w:type="dxa"/>
            <w:vAlign w:val="bottom"/>
            <w:shd w:val="clear" w:color="auto" w:fill="42B6E9"/>
          </w:tcPr>
          <w:p>
            <w:pPr>
              <w:spacing w:after="0"/>
              <w:rPr>
                <w:sz w:val="22"/>
                <w:szCs w:val="22"/>
                <w:color w:val="auto"/>
              </w:rPr>
            </w:pPr>
          </w:p>
        </w:tc>
        <w:tc>
          <w:tcPr>
            <w:tcW w:w="1320" w:type="dxa"/>
            <w:vAlign w:val="bottom"/>
            <w:shd w:val="clear" w:color="auto" w:fill="42B6E9"/>
          </w:tcPr>
          <w:p>
            <w:pPr>
              <w:spacing w:after="0"/>
              <w:rPr>
                <w:sz w:val="22"/>
                <w:szCs w:val="22"/>
                <w:color w:val="auto"/>
              </w:rPr>
            </w:pPr>
          </w:p>
        </w:tc>
        <w:tc>
          <w:tcPr>
            <w:tcW w:w="1240" w:type="dxa"/>
            <w:vAlign w:val="bottom"/>
            <w:shd w:val="clear" w:color="auto" w:fill="42B6E9"/>
          </w:tcPr>
          <w:p>
            <w:pPr>
              <w:jc w:val="right"/>
              <w:ind w:right="184"/>
              <w:spacing w:after="0"/>
              <w:rPr>
                <w:sz w:val="20"/>
                <w:szCs w:val="20"/>
                <w:color w:val="auto"/>
              </w:rPr>
            </w:pPr>
            <w:r>
              <w:rPr>
                <w:rFonts w:ascii="Arial" w:cs="Arial" w:eastAsia="Arial" w:hAnsi="Arial"/>
                <w:sz w:val="14"/>
                <w:szCs w:val="14"/>
                <w:b w:val="1"/>
                <w:bCs w:val="1"/>
                <w:color w:val="FFFFFF"/>
              </w:rPr>
              <w:t>Number of</w:t>
            </w:r>
          </w:p>
        </w:tc>
        <w:tc>
          <w:tcPr>
            <w:tcW w:w="1220" w:type="dxa"/>
            <w:vAlign w:val="bottom"/>
            <w:shd w:val="clear" w:color="auto" w:fill="42B6E9"/>
          </w:tcPr>
          <w:p>
            <w:pPr>
              <w:spacing w:after="0"/>
              <w:rPr>
                <w:sz w:val="22"/>
                <w:szCs w:val="22"/>
                <w:color w:val="auto"/>
              </w:rPr>
            </w:pPr>
          </w:p>
        </w:tc>
      </w:tr>
      <w:tr>
        <w:trPr>
          <w:trHeight w:val="162"/>
        </w:trPr>
        <w:tc>
          <w:tcPr>
            <w:tcW w:w="3940" w:type="dxa"/>
            <w:vAlign w:val="bottom"/>
            <w:shd w:val="clear" w:color="auto" w:fill="42B6E9"/>
          </w:tcPr>
          <w:p>
            <w:pPr>
              <w:spacing w:after="0"/>
              <w:rPr>
                <w:sz w:val="14"/>
                <w:szCs w:val="14"/>
                <w:color w:val="auto"/>
              </w:rPr>
            </w:pPr>
          </w:p>
        </w:tc>
        <w:tc>
          <w:tcPr>
            <w:tcW w:w="1840" w:type="dxa"/>
            <w:vAlign w:val="bottom"/>
            <w:shd w:val="clear" w:color="auto" w:fill="42B6E9"/>
          </w:tcPr>
          <w:p>
            <w:pPr>
              <w:spacing w:after="0"/>
              <w:rPr>
                <w:sz w:val="14"/>
                <w:szCs w:val="14"/>
                <w:color w:val="auto"/>
              </w:rPr>
            </w:pPr>
          </w:p>
        </w:tc>
        <w:tc>
          <w:tcPr>
            <w:tcW w:w="1320" w:type="dxa"/>
            <w:vAlign w:val="bottom"/>
            <w:shd w:val="clear" w:color="auto" w:fill="42B6E9"/>
          </w:tcPr>
          <w:p>
            <w:pPr>
              <w:spacing w:after="0"/>
              <w:rPr>
                <w:sz w:val="14"/>
                <w:szCs w:val="14"/>
                <w:color w:val="auto"/>
              </w:rPr>
            </w:pPr>
          </w:p>
        </w:tc>
        <w:tc>
          <w:tcPr>
            <w:tcW w:w="1240" w:type="dxa"/>
            <w:vAlign w:val="bottom"/>
            <w:shd w:val="clear" w:color="auto" w:fill="42B6E9"/>
          </w:tcPr>
          <w:p>
            <w:pPr>
              <w:jc w:val="right"/>
              <w:ind w:right="184"/>
              <w:spacing w:after="0"/>
              <w:rPr>
                <w:sz w:val="20"/>
                <w:szCs w:val="20"/>
                <w:color w:val="auto"/>
              </w:rPr>
            </w:pPr>
            <w:r>
              <w:rPr>
                <w:rFonts w:ascii="Arial" w:cs="Arial" w:eastAsia="Arial" w:hAnsi="Arial"/>
                <w:sz w:val="14"/>
                <w:szCs w:val="14"/>
                <w:b w:val="1"/>
                <w:bCs w:val="1"/>
                <w:color w:val="FFFFFF"/>
              </w:rPr>
              <w:t>RSUs</w:t>
            </w:r>
          </w:p>
        </w:tc>
        <w:tc>
          <w:tcPr>
            <w:tcW w:w="1220" w:type="dxa"/>
            <w:vAlign w:val="bottom"/>
            <w:shd w:val="clear" w:color="auto" w:fill="42B6E9"/>
          </w:tcPr>
          <w:p>
            <w:pPr>
              <w:jc w:val="right"/>
              <w:ind w:right="24"/>
              <w:spacing w:after="0"/>
              <w:rPr>
                <w:sz w:val="20"/>
                <w:szCs w:val="20"/>
                <w:color w:val="auto"/>
              </w:rPr>
            </w:pPr>
            <w:r>
              <w:rPr>
                <w:rFonts w:ascii="Arial" w:cs="Arial" w:eastAsia="Arial" w:hAnsi="Arial"/>
                <w:sz w:val="14"/>
                <w:szCs w:val="14"/>
                <w:b w:val="1"/>
                <w:bCs w:val="1"/>
                <w:color w:val="FFFFFF"/>
              </w:rPr>
              <w:t>Portion</w:t>
            </w:r>
          </w:p>
        </w:tc>
      </w:tr>
      <w:tr>
        <w:trPr>
          <w:trHeight w:val="162"/>
        </w:trPr>
        <w:tc>
          <w:tcPr>
            <w:tcW w:w="3940" w:type="dxa"/>
            <w:vAlign w:val="bottom"/>
            <w:shd w:val="clear" w:color="auto" w:fill="42B6E9"/>
          </w:tcPr>
          <w:p>
            <w:pPr>
              <w:spacing w:after="0"/>
              <w:rPr>
                <w:sz w:val="14"/>
                <w:szCs w:val="14"/>
                <w:color w:val="auto"/>
              </w:rPr>
            </w:pPr>
          </w:p>
        </w:tc>
        <w:tc>
          <w:tcPr>
            <w:tcW w:w="1840" w:type="dxa"/>
            <w:vAlign w:val="bottom"/>
            <w:shd w:val="clear" w:color="auto" w:fill="42B6E9"/>
          </w:tcPr>
          <w:p>
            <w:pPr>
              <w:jc w:val="right"/>
              <w:ind w:right="163"/>
              <w:spacing w:after="0"/>
              <w:rPr>
                <w:sz w:val="20"/>
                <w:szCs w:val="20"/>
                <w:color w:val="auto"/>
              </w:rPr>
            </w:pPr>
            <w:r>
              <w:rPr>
                <w:rFonts w:ascii="Arial" w:cs="Arial" w:eastAsia="Arial" w:hAnsi="Arial"/>
                <w:sz w:val="14"/>
                <w:szCs w:val="14"/>
                <w:b w:val="1"/>
                <w:bCs w:val="1"/>
                <w:color w:val="FFFFFF"/>
              </w:rPr>
              <w:t>Company Stock</w:t>
            </w:r>
          </w:p>
        </w:tc>
        <w:tc>
          <w:tcPr>
            <w:tcW w:w="1320" w:type="dxa"/>
            <w:vAlign w:val="bottom"/>
            <w:shd w:val="clear" w:color="auto" w:fill="42B6E9"/>
          </w:tcPr>
          <w:p>
            <w:pPr>
              <w:spacing w:after="0"/>
              <w:rPr>
                <w:sz w:val="14"/>
                <w:szCs w:val="14"/>
                <w:color w:val="auto"/>
              </w:rPr>
            </w:pPr>
          </w:p>
        </w:tc>
        <w:tc>
          <w:tcPr>
            <w:tcW w:w="1240" w:type="dxa"/>
            <w:vAlign w:val="bottom"/>
            <w:shd w:val="clear" w:color="auto" w:fill="42B6E9"/>
          </w:tcPr>
          <w:p>
            <w:pPr>
              <w:jc w:val="right"/>
              <w:ind w:right="184"/>
              <w:spacing w:after="0"/>
              <w:rPr>
                <w:sz w:val="20"/>
                <w:szCs w:val="20"/>
                <w:color w:val="auto"/>
              </w:rPr>
            </w:pPr>
            <w:r>
              <w:rPr>
                <w:rFonts w:ascii="Arial" w:cs="Arial" w:eastAsia="Arial" w:hAnsi="Arial"/>
                <w:sz w:val="14"/>
                <w:szCs w:val="14"/>
                <w:b w:val="1"/>
                <w:bCs w:val="1"/>
                <w:color w:val="FFFFFF"/>
              </w:rPr>
              <w:t>Earned</w:t>
            </w:r>
          </w:p>
        </w:tc>
        <w:tc>
          <w:tcPr>
            <w:tcW w:w="1220" w:type="dxa"/>
            <w:vAlign w:val="bottom"/>
            <w:shd w:val="clear" w:color="auto" w:fill="42B6E9"/>
          </w:tcPr>
          <w:p>
            <w:pPr>
              <w:jc w:val="right"/>
              <w:ind w:right="24"/>
              <w:spacing w:after="0"/>
              <w:rPr>
                <w:sz w:val="20"/>
                <w:szCs w:val="20"/>
                <w:color w:val="auto"/>
              </w:rPr>
            </w:pPr>
            <w:r>
              <w:rPr>
                <w:rFonts w:ascii="Arial" w:cs="Arial" w:eastAsia="Arial" w:hAnsi="Arial"/>
                <w:sz w:val="14"/>
                <w:szCs w:val="14"/>
                <w:b w:val="1"/>
                <w:bCs w:val="1"/>
                <w:color w:val="FFFFFF"/>
              </w:rPr>
              <w:t>of RSUs</w:t>
            </w:r>
          </w:p>
        </w:tc>
      </w:tr>
      <w:tr>
        <w:trPr>
          <w:trHeight w:val="162"/>
        </w:trPr>
        <w:tc>
          <w:tcPr>
            <w:tcW w:w="3940" w:type="dxa"/>
            <w:vAlign w:val="bottom"/>
            <w:shd w:val="clear" w:color="auto" w:fill="42B6E9"/>
          </w:tcPr>
          <w:p>
            <w:pPr>
              <w:spacing w:after="0"/>
              <w:rPr>
                <w:sz w:val="14"/>
                <w:szCs w:val="14"/>
                <w:color w:val="auto"/>
              </w:rPr>
            </w:pPr>
          </w:p>
        </w:tc>
        <w:tc>
          <w:tcPr>
            <w:tcW w:w="1840" w:type="dxa"/>
            <w:vAlign w:val="bottom"/>
            <w:shd w:val="clear" w:color="auto" w:fill="42B6E9"/>
          </w:tcPr>
          <w:p>
            <w:pPr>
              <w:jc w:val="right"/>
              <w:ind w:right="163"/>
              <w:spacing w:after="0"/>
              <w:rPr>
                <w:sz w:val="20"/>
                <w:szCs w:val="20"/>
                <w:color w:val="auto"/>
              </w:rPr>
            </w:pPr>
            <w:r>
              <w:rPr>
                <w:rFonts w:ascii="Arial" w:cs="Arial" w:eastAsia="Arial" w:hAnsi="Arial"/>
                <w:sz w:val="14"/>
                <w:szCs w:val="14"/>
                <w:b w:val="1"/>
                <w:bCs w:val="1"/>
                <w:color w:val="FFFFFF"/>
              </w:rPr>
              <w:t>Price Target (as</w:t>
            </w:r>
          </w:p>
        </w:tc>
        <w:tc>
          <w:tcPr>
            <w:tcW w:w="1320" w:type="dxa"/>
            <w:vAlign w:val="bottom"/>
            <w:shd w:val="clear" w:color="auto" w:fill="42B6E9"/>
          </w:tcPr>
          <w:p>
            <w:pPr>
              <w:jc w:val="right"/>
              <w:ind w:right="162"/>
              <w:spacing w:after="0"/>
              <w:rPr>
                <w:sz w:val="20"/>
                <w:szCs w:val="20"/>
                <w:color w:val="auto"/>
              </w:rPr>
            </w:pPr>
            <w:r>
              <w:rPr>
                <w:rFonts w:ascii="Arial" w:cs="Arial" w:eastAsia="Arial" w:hAnsi="Arial"/>
                <w:sz w:val="14"/>
                <w:szCs w:val="14"/>
                <w:b w:val="1"/>
                <w:bCs w:val="1"/>
                <w:color w:val="FFFFFF"/>
              </w:rPr>
              <w:t>Company</w:t>
            </w:r>
          </w:p>
        </w:tc>
        <w:tc>
          <w:tcPr>
            <w:tcW w:w="1240" w:type="dxa"/>
            <w:vAlign w:val="bottom"/>
            <w:shd w:val="clear" w:color="auto" w:fill="42B6E9"/>
          </w:tcPr>
          <w:p>
            <w:pPr>
              <w:jc w:val="right"/>
              <w:ind w:right="184"/>
              <w:spacing w:after="0"/>
              <w:rPr>
                <w:sz w:val="20"/>
                <w:szCs w:val="20"/>
                <w:color w:val="auto"/>
              </w:rPr>
            </w:pPr>
            <w:r>
              <w:rPr>
                <w:rFonts w:ascii="Arial" w:cs="Arial" w:eastAsia="Arial" w:hAnsi="Arial"/>
                <w:sz w:val="14"/>
                <w:szCs w:val="14"/>
                <w:b w:val="1"/>
                <w:bCs w:val="1"/>
                <w:color w:val="FFFFFF"/>
              </w:rPr>
              <w:t>If Price</w:t>
            </w:r>
          </w:p>
        </w:tc>
        <w:tc>
          <w:tcPr>
            <w:tcW w:w="1220" w:type="dxa"/>
            <w:vAlign w:val="bottom"/>
            <w:shd w:val="clear" w:color="auto" w:fill="42B6E9"/>
          </w:tcPr>
          <w:p>
            <w:pPr>
              <w:jc w:val="right"/>
              <w:ind w:right="24"/>
              <w:spacing w:after="0"/>
              <w:rPr>
                <w:sz w:val="20"/>
                <w:szCs w:val="20"/>
                <w:color w:val="auto"/>
              </w:rPr>
            </w:pPr>
            <w:r>
              <w:rPr>
                <w:rFonts w:ascii="Arial" w:cs="Arial" w:eastAsia="Arial" w:hAnsi="Arial"/>
                <w:sz w:val="14"/>
                <w:szCs w:val="14"/>
                <w:b w:val="1"/>
                <w:bCs w:val="1"/>
                <w:color w:val="FFFFFF"/>
              </w:rPr>
              <w:t>Eligible</w:t>
            </w:r>
          </w:p>
        </w:tc>
      </w:tr>
      <w:tr>
        <w:trPr>
          <w:trHeight w:val="162"/>
        </w:trPr>
        <w:tc>
          <w:tcPr>
            <w:tcW w:w="3940" w:type="dxa"/>
            <w:vAlign w:val="bottom"/>
            <w:shd w:val="clear" w:color="auto" w:fill="42B6E9"/>
          </w:tcPr>
          <w:p>
            <w:pPr>
              <w:spacing w:after="0"/>
              <w:rPr>
                <w:sz w:val="14"/>
                <w:szCs w:val="14"/>
                <w:color w:val="auto"/>
              </w:rPr>
            </w:pPr>
          </w:p>
        </w:tc>
        <w:tc>
          <w:tcPr>
            <w:tcW w:w="1840" w:type="dxa"/>
            <w:vAlign w:val="bottom"/>
            <w:shd w:val="clear" w:color="auto" w:fill="42B6E9"/>
          </w:tcPr>
          <w:p>
            <w:pPr>
              <w:jc w:val="right"/>
              <w:ind w:right="163"/>
              <w:spacing w:after="0"/>
              <w:rPr>
                <w:sz w:val="20"/>
                <w:szCs w:val="20"/>
                <w:color w:val="auto"/>
              </w:rPr>
            </w:pPr>
            <w:r>
              <w:rPr>
                <w:rFonts w:ascii="Arial" w:cs="Arial" w:eastAsia="Arial" w:hAnsi="Arial"/>
                <w:sz w:val="14"/>
                <w:szCs w:val="14"/>
                <w:b w:val="1"/>
                <w:bCs w:val="1"/>
                <w:color w:val="FFFFFF"/>
              </w:rPr>
              <w:t>% increase in</w:t>
            </w:r>
          </w:p>
        </w:tc>
        <w:tc>
          <w:tcPr>
            <w:tcW w:w="1320" w:type="dxa"/>
            <w:vAlign w:val="bottom"/>
            <w:shd w:val="clear" w:color="auto" w:fill="42B6E9"/>
          </w:tcPr>
          <w:p>
            <w:pPr>
              <w:jc w:val="right"/>
              <w:ind w:right="162"/>
              <w:spacing w:after="0"/>
              <w:rPr>
                <w:sz w:val="20"/>
                <w:szCs w:val="20"/>
                <w:color w:val="auto"/>
              </w:rPr>
            </w:pPr>
            <w:r>
              <w:rPr>
                <w:rFonts w:ascii="Arial" w:cs="Arial" w:eastAsia="Arial" w:hAnsi="Arial"/>
                <w:sz w:val="14"/>
                <w:szCs w:val="14"/>
                <w:b w:val="1"/>
                <w:bCs w:val="1"/>
                <w:color w:val="FFFFFF"/>
              </w:rPr>
              <w:t>Stock</w:t>
            </w:r>
          </w:p>
        </w:tc>
        <w:tc>
          <w:tcPr>
            <w:tcW w:w="1240" w:type="dxa"/>
            <w:vAlign w:val="bottom"/>
            <w:shd w:val="clear" w:color="auto" w:fill="42B6E9"/>
          </w:tcPr>
          <w:p>
            <w:pPr>
              <w:jc w:val="right"/>
              <w:ind w:right="184"/>
              <w:spacing w:after="0"/>
              <w:rPr>
                <w:sz w:val="20"/>
                <w:szCs w:val="20"/>
                <w:color w:val="auto"/>
              </w:rPr>
            </w:pPr>
            <w:r>
              <w:rPr>
                <w:rFonts w:ascii="Arial" w:cs="Arial" w:eastAsia="Arial" w:hAnsi="Arial"/>
                <w:sz w:val="14"/>
                <w:szCs w:val="14"/>
                <w:b w:val="1"/>
                <w:bCs w:val="1"/>
                <w:color w:val="FFFFFF"/>
              </w:rPr>
              <w:t>Target</w:t>
            </w:r>
          </w:p>
        </w:tc>
        <w:tc>
          <w:tcPr>
            <w:tcW w:w="1220" w:type="dxa"/>
            <w:vAlign w:val="bottom"/>
            <w:shd w:val="clear" w:color="auto" w:fill="42B6E9"/>
          </w:tcPr>
          <w:p>
            <w:pPr>
              <w:jc w:val="right"/>
              <w:ind w:right="24"/>
              <w:spacing w:after="0"/>
              <w:rPr>
                <w:sz w:val="20"/>
                <w:szCs w:val="20"/>
                <w:color w:val="auto"/>
              </w:rPr>
            </w:pPr>
            <w:r>
              <w:rPr>
                <w:rFonts w:ascii="Arial" w:cs="Arial" w:eastAsia="Arial" w:hAnsi="Arial"/>
                <w:sz w:val="14"/>
                <w:szCs w:val="14"/>
                <w:b w:val="1"/>
                <w:bCs w:val="1"/>
                <w:color w:val="FFFFFF"/>
              </w:rPr>
              <w:t>to Vest (% of</w:t>
            </w:r>
          </w:p>
        </w:tc>
      </w:tr>
      <w:tr>
        <w:trPr>
          <w:trHeight w:val="190"/>
        </w:trPr>
        <w:tc>
          <w:tcPr>
            <w:tcW w:w="3940" w:type="dxa"/>
            <w:vAlign w:val="bottom"/>
            <w:shd w:val="clear" w:color="auto" w:fill="42B6E9"/>
          </w:tcPr>
          <w:p>
            <w:pPr>
              <w:ind w:left="80"/>
              <w:spacing w:after="0"/>
              <w:rPr>
                <w:sz w:val="20"/>
                <w:szCs w:val="20"/>
                <w:color w:val="auto"/>
              </w:rPr>
            </w:pPr>
            <w:r>
              <w:rPr>
                <w:rFonts w:ascii="Arial" w:cs="Arial" w:eastAsia="Arial" w:hAnsi="Arial"/>
                <w:sz w:val="14"/>
                <w:szCs w:val="14"/>
                <w:b w:val="1"/>
                <w:bCs w:val="1"/>
                <w:color w:val="FFFFFF"/>
              </w:rPr>
              <w:t>Tranche</w:t>
            </w:r>
          </w:p>
        </w:tc>
        <w:tc>
          <w:tcPr>
            <w:tcW w:w="1840" w:type="dxa"/>
            <w:vAlign w:val="bottom"/>
            <w:shd w:val="clear" w:color="auto" w:fill="42B6E9"/>
          </w:tcPr>
          <w:p>
            <w:pPr>
              <w:jc w:val="right"/>
              <w:ind w:right="163"/>
              <w:spacing w:after="0"/>
              <w:rPr>
                <w:sz w:val="20"/>
                <w:szCs w:val="20"/>
                <w:color w:val="auto"/>
              </w:rPr>
            </w:pPr>
            <w:r>
              <w:rPr>
                <w:rFonts w:ascii="Arial" w:cs="Arial" w:eastAsia="Arial" w:hAnsi="Arial"/>
                <w:sz w:val="14"/>
                <w:szCs w:val="14"/>
                <w:b w:val="1"/>
                <w:bCs w:val="1"/>
                <w:color w:val="FFFFFF"/>
              </w:rPr>
              <w:t>Base Price)</w:t>
            </w:r>
          </w:p>
        </w:tc>
        <w:tc>
          <w:tcPr>
            <w:tcW w:w="1320" w:type="dxa"/>
            <w:vAlign w:val="bottom"/>
            <w:shd w:val="clear" w:color="auto" w:fill="42B6E9"/>
          </w:tcPr>
          <w:p>
            <w:pPr>
              <w:jc w:val="right"/>
              <w:ind w:right="162"/>
              <w:spacing w:after="0"/>
              <w:rPr>
                <w:sz w:val="20"/>
                <w:szCs w:val="20"/>
                <w:color w:val="auto"/>
              </w:rPr>
            </w:pPr>
            <w:r>
              <w:rPr>
                <w:rFonts w:ascii="Arial" w:cs="Arial" w:eastAsia="Arial" w:hAnsi="Arial"/>
                <w:sz w:val="14"/>
                <w:szCs w:val="14"/>
                <w:b w:val="1"/>
                <w:bCs w:val="1"/>
                <w:color w:val="FFFFFF"/>
              </w:rPr>
              <w:t>Price Target</w:t>
            </w:r>
          </w:p>
        </w:tc>
        <w:tc>
          <w:tcPr>
            <w:tcW w:w="1240" w:type="dxa"/>
            <w:vAlign w:val="bottom"/>
            <w:shd w:val="clear" w:color="auto" w:fill="42B6E9"/>
          </w:tcPr>
          <w:p>
            <w:pPr>
              <w:jc w:val="right"/>
              <w:ind w:right="184"/>
              <w:spacing w:after="0"/>
              <w:rPr>
                <w:sz w:val="20"/>
                <w:szCs w:val="20"/>
                <w:color w:val="auto"/>
              </w:rPr>
            </w:pPr>
            <w:r>
              <w:rPr>
                <w:rFonts w:ascii="Arial" w:cs="Arial" w:eastAsia="Arial" w:hAnsi="Arial"/>
                <w:sz w:val="14"/>
                <w:szCs w:val="14"/>
                <w:b w:val="1"/>
                <w:bCs w:val="1"/>
                <w:color w:val="FFFFFF"/>
              </w:rPr>
              <w:t>Achieved</w:t>
            </w:r>
          </w:p>
        </w:tc>
        <w:tc>
          <w:tcPr>
            <w:tcW w:w="1220" w:type="dxa"/>
            <w:vAlign w:val="bottom"/>
            <w:shd w:val="clear" w:color="auto" w:fill="42B6E9"/>
          </w:tcPr>
          <w:p>
            <w:pPr>
              <w:jc w:val="right"/>
              <w:ind w:right="24"/>
              <w:spacing w:after="0"/>
              <w:rPr>
                <w:sz w:val="20"/>
                <w:szCs w:val="20"/>
                <w:color w:val="auto"/>
              </w:rPr>
            </w:pPr>
            <w:r>
              <w:rPr>
                <w:rFonts w:ascii="Arial" w:cs="Arial" w:eastAsia="Arial" w:hAnsi="Arial"/>
                <w:sz w:val="14"/>
                <w:szCs w:val="14"/>
                <w:b w:val="1"/>
                <w:bCs w:val="1"/>
                <w:color w:val="FFFFFF"/>
              </w:rPr>
              <w:t>Total RSUs)</w:t>
            </w:r>
          </w:p>
        </w:tc>
      </w:tr>
      <w:tr>
        <w:trPr>
          <w:trHeight w:val="80"/>
        </w:trPr>
        <w:tc>
          <w:tcPr>
            <w:tcW w:w="3940" w:type="dxa"/>
            <w:vAlign w:val="bottom"/>
            <w:shd w:val="clear" w:color="auto" w:fill="42B6E9"/>
          </w:tcPr>
          <w:p>
            <w:pPr>
              <w:spacing w:after="0"/>
              <w:rPr>
                <w:sz w:val="6"/>
                <w:szCs w:val="6"/>
                <w:color w:val="auto"/>
              </w:rPr>
            </w:pPr>
          </w:p>
        </w:tc>
        <w:tc>
          <w:tcPr>
            <w:tcW w:w="1840" w:type="dxa"/>
            <w:vAlign w:val="bottom"/>
            <w:shd w:val="clear" w:color="auto" w:fill="42B6E9"/>
          </w:tcPr>
          <w:p>
            <w:pPr>
              <w:spacing w:after="0"/>
              <w:rPr>
                <w:sz w:val="6"/>
                <w:szCs w:val="6"/>
                <w:color w:val="auto"/>
              </w:rPr>
            </w:pPr>
          </w:p>
        </w:tc>
        <w:tc>
          <w:tcPr>
            <w:tcW w:w="1320" w:type="dxa"/>
            <w:vAlign w:val="bottom"/>
            <w:shd w:val="clear" w:color="auto" w:fill="42B6E9"/>
          </w:tcPr>
          <w:p>
            <w:pPr>
              <w:spacing w:after="0"/>
              <w:rPr>
                <w:sz w:val="6"/>
                <w:szCs w:val="6"/>
                <w:color w:val="auto"/>
              </w:rPr>
            </w:pPr>
          </w:p>
        </w:tc>
        <w:tc>
          <w:tcPr>
            <w:tcW w:w="1240" w:type="dxa"/>
            <w:vAlign w:val="bottom"/>
            <w:shd w:val="clear" w:color="auto" w:fill="42B6E9"/>
          </w:tcPr>
          <w:p>
            <w:pPr>
              <w:spacing w:after="0"/>
              <w:rPr>
                <w:sz w:val="6"/>
                <w:szCs w:val="6"/>
                <w:color w:val="auto"/>
              </w:rPr>
            </w:pPr>
          </w:p>
        </w:tc>
        <w:tc>
          <w:tcPr>
            <w:tcW w:w="1220" w:type="dxa"/>
            <w:vAlign w:val="bottom"/>
            <w:shd w:val="clear" w:color="auto" w:fill="42B6E9"/>
          </w:tcPr>
          <w:p>
            <w:pPr>
              <w:spacing w:after="0"/>
              <w:rPr>
                <w:sz w:val="6"/>
                <w:szCs w:val="6"/>
                <w:color w:val="auto"/>
              </w:rPr>
            </w:pPr>
          </w:p>
        </w:tc>
      </w:tr>
      <w:tr>
        <w:trPr>
          <w:trHeight w:val="291"/>
        </w:trPr>
        <w:tc>
          <w:tcPr>
            <w:tcW w:w="3940" w:type="dxa"/>
            <w:vAlign w:val="bottom"/>
            <w:shd w:val="clear" w:color="auto" w:fill="E9F8FD"/>
          </w:tcPr>
          <w:p>
            <w:pPr>
              <w:ind w:left="80"/>
              <w:spacing w:after="0"/>
              <w:rPr>
                <w:sz w:val="20"/>
                <w:szCs w:val="20"/>
                <w:color w:val="auto"/>
              </w:rPr>
            </w:pPr>
            <w:r>
              <w:rPr>
                <w:rFonts w:ascii="Arial" w:cs="Arial" w:eastAsia="Arial" w:hAnsi="Arial"/>
                <w:sz w:val="16"/>
                <w:szCs w:val="16"/>
                <w:color w:val="42B6E9"/>
              </w:rPr>
              <w:t>1</w:t>
            </w:r>
          </w:p>
        </w:tc>
        <w:tc>
          <w:tcPr>
            <w:tcW w:w="1840" w:type="dxa"/>
            <w:vAlign w:val="bottom"/>
            <w:shd w:val="clear" w:color="auto" w:fill="E9F8FD"/>
          </w:tcPr>
          <w:p>
            <w:pPr>
              <w:jc w:val="right"/>
              <w:ind w:right="163"/>
              <w:spacing w:after="0"/>
              <w:rPr>
                <w:sz w:val="20"/>
                <w:szCs w:val="20"/>
                <w:color w:val="auto"/>
              </w:rPr>
            </w:pPr>
            <w:r>
              <w:rPr>
                <w:rFonts w:ascii="Arial" w:cs="Arial" w:eastAsia="Arial" w:hAnsi="Arial"/>
                <w:sz w:val="16"/>
                <w:szCs w:val="16"/>
                <w:color w:val="42B6E9"/>
              </w:rPr>
              <w:t>100%</w:t>
            </w:r>
          </w:p>
        </w:tc>
        <w:tc>
          <w:tcPr>
            <w:tcW w:w="1320" w:type="dxa"/>
            <w:vAlign w:val="bottom"/>
            <w:shd w:val="clear" w:color="auto" w:fill="E9F8FD"/>
          </w:tcPr>
          <w:p>
            <w:pPr>
              <w:ind w:left="700"/>
              <w:spacing w:after="0"/>
              <w:rPr>
                <w:sz w:val="20"/>
                <w:szCs w:val="20"/>
                <w:color w:val="auto"/>
              </w:rPr>
            </w:pPr>
            <w:r>
              <w:rPr>
                <w:rFonts w:ascii="Arial" w:cs="Arial" w:eastAsia="Arial" w:hAnsi="Arial"/>
                <w:sz w:val="16"/>
                <w:szCs w:val="16"/>
                <w:color w:val="42B6E9"/>
              </w:rPr>
              <w:t>$ 46</w:t>
            </w:r>
          </w:p>
        </w:tc>
        <w:tc>
          <w:tcPr>
            <w:tcW w:w="1240" w:type="dxa"/>
            <w:vAlign w:val="bottom"/>
            <w:shd w:val="clear" w:color="auto" w:fill="E9F8FD"/>
          </w:tcPr>
          <w:p>
            <w:pPr>
              <w:jc w:val="right"/>
              <w:ind w:right="204"/>
              <w:spacing w:after="0"/>
              <w:rPr>
                <w:sz w:val="20"/>
                <w:szCs w:val="20"/>
                <w:color w:val="auto"/>
              </w:rPr>
            </w:pPr>
            <w:r>
              <w:rPr>
                <w:rFonts w:ascii="Arial" w:cs="Arial" w:eastAsia="Arial" w:hAnsi="Arial"/>
                <w:sz w:val="16"/>
                <w:szCs w:val="16"/>
                <w:color w:val="42B6E9"/>
              </w:rPr>
              <w:t>1,002,150</w:t>
            </w:r>
          </w:p>
        </w:tc>
        <w:tc>
          <w:tcPr>
            <w:tcW w:w="1220" w:type="dxa"/>
            <w:vAlign w:val="bottom"/>
            <w:shd w:val="clear" w:color="auto" w:fill="E9F8FD"/>
          </w:tcPr>
          <w:p>
            <w:pPr>
              <w:jc w:val="right"/>
              <w:ind w:right="44"/>
              <w:spacing w:after="0"/>
              <w:rPr>
                <w:sz w:val="20"/>
                <w:szCs w:val="20"/>
                <w:color w:val="auto"/>
              </w:rPr>
            </w:pPr>
            <w:r>
              <w:rPr>
                <w:rFonts w:ascii="Arial" w:cs="Arial" w:eastAsia="Arial" w:hAnsi="Arial"/>
                <w:sz w:val="16"/>
                <w:szCs w:val="16"/>
                <w:color w:val="42B6E9"/>
              </w:rPr>
              <w:t>10%</w:t>
            </w:r>
          </w:p>
        </w:tc>
      </w:tr>
      <w:tr>
        <w:trPr>
          <w:trHeight w:val="378"/>
        </w:trPr>
        <w:tc>
          <w:tcPr>
            <w:tcW w:w="3940" w:type="dxa"/>
            <w:vAlign w:val="bottom"/>
            <w:shd w:val="clear" w:color="auto" w:fill="E9F8FD"/>
          </w:tcPr>
          <w:p>
            <w:pPr>
              <w:ind w:left="80"/>
              <w:spacing w:after="0"/>
              <w:rPr>
                <w:sz w:val="20"/>
                <w:szCs w:val="20"/>
                <w:color w:val="auto"/>
              </w:rPr>
            </w:pPr>
            <w:r>
              <w:rPr>
                <w:rFonts w:ascii="Arial" w:cs="Arial" w:eastAsia="Arial" w:hAnsi="Arial"/>
                <w:sz w:val="16"/>
                <w:szCs w:val="16"/>
                <w:color w:val="42B6E9"/>
              </w:rPr>
              <w:t>2</w:t>
            </w:r>
          </w:p>
        </w:tc>
        <w:tc>
          <w:tcPr>
            <w:tcW w:w="1840" w:type="dxa"/>
            <w:vAlign w:val="bottom"/>
            <w:shd w:val="clear" w:color="auto" w:fill="E9F8FD"/>
          </w:tcPr>
          <w:p>
            <w:pPr>
              <w:jc w:val="right"/>
              <w:ind w:right="163"/>
              <w:spacing w:after="0"/>
              <w:rPr>
                <w:sz w:val="20"/>
                <w:szCs w:val="20"/>
                <w:color w:val="auto"/>
              </w:rPr>
            </w:pPr>
            <w:r>
              <w:rPr>
                <w:rFonts w:ascii="Arial" w:cs="Arial" w:eastAsia="Arial" w:hAnsi="Arial"/>
                <w:sz w:val="16"/>
                <w:szCs w:val="16"/>
                <w:color w:val="42B6E9"/>
              </w:rPr>
              <w:t>200%</w:t>
            </w:r>
          </w:p>
        </w:tc>
        <w:tc>
          <w:tcPr>
            <w:tcW w:w="1320" w:type="dxa"/>
            <w:vAlign w:val="bottom"/>
            <w:shd w:val="clear" w:color="auto" w:fill="E9F8FD"/>
          </w:tcPr>
          <w:p>
            <w:pPr>
              <w:ind w:left="700"/>
              <w:spacing w:after="0"/>
              <w:rPr>
                <w:sz w:val="20"/>
                <w:szCs w:val="20"/>
                <w:color w:val="auto"/>
              </w:rPr>
            </w:pPr>
            <w:r>
              <w:rPr>
                <w:rFonts w:ascii="Arial" w:cs="Arial" w:eastAsia="Arial" w:hAnsi="Arial"/>
                <w:sz w:val="16"/>
                <w:szCs w:val="16"/>
                <w:color w:val="42B6E9"/>
              </w:rPr>
              <w:t>$ 69</w:t>
            </w:r>
          </w:p>
        </w:tc>
        <w:tc>
          <w:tcPr>
            <w:tcW w:w="1240" w:type="dxa"/>
            <w:vAlign w:val="bottom"/>
            <w:shd w:val="clear" w:color="auto" w:fill="E9F8FD"/>
          </w:tcPr>
          <w:p>
            <w:pPr>
              <w:jc w:val="right"/>
              <w:ind w:right="204"/>
              <w:spacing w:after="0"/>
              <w:rPr>
                <w:sz w:val="20"/>
                <w:szCs w:val="20"/>
                <w:color w:val="auto"/>
              </w:rPr>
            </w:pPr>
            <w:r>
              <w:rPr>
                <w:rFonts w:ascii="Arial" w:cs="Arial" w:eastAsia="Arial" w:hAnsi="Arial"/>
                <w:sz w:val="16"/>
                <w:szCs w:val="16"/>
                <w:color w:val="42B6E9"/>
              </w:rPr>
              <w:t>1,503,230</w:t>
            </w:r>
          </w:p>
        </w:tc>
        <w:tc>
          <w:tcPr>
            <w:tcW w:w="1220" w:type="dxa"/>
            <w:vAlign w:val="bottom"/>
            <w:shd w:val="clear" w:color="auto" w:fill="E9F8FD"/>
          </w:tcPr>
          <w:p>
            <w:pPr>
              <w:jc w:val="right"/>
              <w:ind w:right="44"/>
              <w:spacing w:after="0"/>
              <w:rPr>
                <w:sz w:val="20"/>
                <w:szCs w:val="20"/>
                <w:color w:val="auto"/>
              </w:rPr>
            </w:pPr>
            <w:r>
              <w:rPr>
                <w:rFonts w:ascii="Arial" w:cs="Arial" w:eastAsia="Arial" w:hAnsi="Arial"/>
                <w:sz w:val="16"/>
                <w:szCs w:val="16"/>
                <w:color w:val="42B6E9"/>
              </w:rPr>
              <w:t>15%</w:t>
            </w:r>
          </w:p>
        </w:tc>
      </w:tr>
      <w:tr>
        <w:trPr>
          <w:trHeight w:val="378"/>
        </w:trPr>
        <w:tc>
          <w:tcPr>
            <w:tcW w:w="3940" w:type="dxa"/>
            <w:vAlign w:val="bottom"/>
            <w:shd w:val="clear" w:color="auto" w:fill="E9F8FD"/>
          </w:tcPr>
          <w:p>
            <w:pPr>
              <w:ind w:left="80"/>
              <w:spacing w:after="0"/>
              <w:rPr>
                <w:sz w:val="20"/>
                <w:szCs w:val="20"/>
                <w:color w:val="auto"/>
              </w:rPr>
            </w:pPr>
            <w:r>
              <w:rPr>
                <w:rFonts w:ascii="Arial" w:cs="Arial" w:eastAsia="Arial" w:hAnsi="Arial"/>
                <w:sz w:val="16"/>
                <w:szCs w:val="16"/>
                <w:color w:val="42B6E9"/>
              </w:rPr>
              <w:t>3</w:t>
            </w:r>
          </w:p>
        </w:tc>
        <w:tc>
          <w:tcPr>
            <w:tcW w:w="1840" w:type="dxa"/>
            <w:vAlign w:val="bottom"/>
            <w:shd w:val="clear" w:color="auto" w:fill="E9F8FD"/>
          </w:tcPr>
          <w:p>
            <w:pPr>
              <w:jc w:val="right"/>
              <w:ind w:right="163"/>
              <w:spacing w:after="0"/>
              <w:rPr>
                <w:sz w:val="20"/>
                <w:szCs w:val="20"/>
                <w:color w:val="auto"/>
              </w:rPr>
            </w:pPr>
            <w:r>
              <w:rPr>
                <w:rFonts w:ascii="Arial" w:cs="Arial" w:eastAsia="Arial" w:hAnsi="Arial"/>
                <w:sz w:val="16"/>
                <w:szCs w:val="16"/>
                <w:color w:val="42B6E9"/>
              </w:rPr>
              <w:t>300%</w:t>
            </w:r>
          </w:p>
        </w:tc>
        <w:tc>
          <w:tcPr>
            <w:tcW w:w="1320" w:type="dxa"/>
            <w:vAlign w:val="bottom"/>
            <w:shd w:val="clear" w:color="auto" w:fill="E9F8FD"/>
          </w:tcPr>
          <w:p>
            <w:pPr>
              <w:ind w:left="700"/>
              <w:spacing w:after="0"/>
              <w:rPr>
                <w:sz w:val="20"/>
                <w:szCs w:val="20"/>
                <w:color w:val="auto"/>
              </w:rPr>
            </w:pPr>
            <w:r>
              <w:rPr>
                <w:rFonts w:ascii="Arial" w:cs="Arial" w:eastAsia="Arial" w:hAnsi="Arial"/>
                <w:sz w:val="16"/>
                <w:szCs w:val="16"/>
                <w:color w:val="42B6E9"/>
              </w:rPr>
              <w:t>$ 92</w:t>
            </w:r>
          </w:p>
        </w:tc>
        <w:tc>
          <w:tcPr>
            <w:tcW w:w="1240" w:type="dxa"/>
            <w:vAlign w:val="bottom"/>
            <w:shd w:val="clear" w:color="auto" w:fill="E9F8FD"/>
          </w:tcPr>
          <w:p>
            <w:pPr>
              <w:jc w:val="right"/>
              <w:ind w:right="204"/>
              <w:spacing w:after="0"/>
              <w:rPr>
                <w:sz w:val="20"/>
                <w:szCs w:val="20"/>
                <w:color w:val="auto"/>
              </w:rPr>
            </w:pPr>
            <w:r>
              <w:rPr>
                <w:rFonts w:ascii="Arial" w:cs="Arial" w:eastAsia="Arial" w:hAnsi="Arial"/>
                <w:sz w:val="16"/>
                <w:szCs w:val="16"/>
                <w:color w:val="42B6E9"/>
              </w:rPr>
              <w:t>2,004,300</w:t>
            </w:r>
          </w:p>
        </w:tc>
        <w:tc>
          <w:tcPr>
            <w:tcW w:w="1220" w:type="dxa"/>
            <w:vAlign w:val="bottom"/>
            <w:shd w:val="clear" w:color="auto" w:fill="E9F8FD"/>
          </w:tcPr>
          <w:p>
            <w:pPr>
              <w:jc w:val="right"/>
              <w:ind w:right="44"/>
              <w:spacing w:after="0"/>
              <w:rPr>
                <w:sz w:val="20"/>
                <w:szCs w:val="20"/>
                <w:color w:val="auto"/>
              </w:rPr>
            </w:pPr>
            <w:r>
              <w:rPr>
                <w:rFonts w:ascii="Arial" w:cs="Arial" w:eastAsia="Arial" w:hAnsi="Arial"/>
                <w:sz w:val="16"/>
                <w:szCs w:val="16"/>
                <w:color w:val="42B6E9"/>
              </w:rPr>
              <w:t>20%</w:t>
            </w:r>
          </w:p>
        </w:tc>
      </w:tr>
      <w:tr>
        <w:trPr>
          <w:trHeight w:val="378"/>
        </w:trPr>
        <w:tc>
          <w:tcPr>
            <w:tcW w:w="3940" w:type="dxa"/>
            <w:vAlign w:val="bottom"/>
            <w:shd w:val="clear" w:color="auto" w:fill="E9F8FD"/>
          </w:tcPr>
          <w:p>
            <w:pPr>
              <w:ind w:left="80"/>
              <w:spacing w:after="0"/>
              <w:rPr>
                <w:sz w:val="20"/>
                <w:szCs w:val="20"/>
                <w:color w:val="auto"/>
              </w:rPr>
            </w:pPr>
            <w:r>
              <w:rPr>
                <w:rFonts w:ascii="Arial" w:cs="Arial" w:eastAsia="Arial" w:hAnsi="Arial"/>
                <w:sz w:val="16"/>
                <w:szCs w:val="16"/>
                <w:color w:val="42B6E9"/>
              </w:rPr>
              <w:t>4</w:t>
            </w:r>
          </w:p>
        </w:tc>
        <w:tc>
          <w:tcPr>
            <w:tcW w:w="1840" w:type="dxa"/>
            <w:vAlign w:val="bottom"/>
            <w:shd w:val="clear" w:color="auto" w:fill="E9F8FD"/>
          </w:tcPr>
          <w:p>
            <w:pPr>
              <w:jc w:val="right"/>
              <w:ind w:right="163"/>
              <w:spacing w:after="0"/>
              <w:rPr>
                <w:sz w:val="20"/>
                <w:szCs w:val="20"/>
                <w:color w:val="auto"/>
              </w:rPr>
            </w:pPr>
            <w:r>
              <w:rPr>
                <w:rFonts w:ascii="Arial" w:cs="Arial" w:eastAsia="Arial" w:hAnsi="Arial"/>
                <w:sz w:val="16"/>
                <w:szCs w:val="16"/>
                <w:color w:val="42B6E9"/>
              </w:rPr>
              <w:t>400%</w:t>
            </w:r>
          </w:p>
        </w:tc>
        <w:tc>
          <w:tcPr>
            <w:tcW w:w="1320" w:type="dxa"/>
            <w:vAlign w:val="bottom"/>
            <w:shd w:val="clear" w:color="auto" w:fill="E9F8FD"/>
          </w:tcPr>
          <w:p>
            <w:pPr>
              <w:ind w:left="700"/>
              <w:spacing w:after="0"/>
              <w:rPr>
                <w:sz w:val="20"/>
                <w:szCs w:val="20"/>
                <w:color w:val="auto"/>
              </w:rPr>
            </w:pPr>
            <w:r>
              <w:rPr>
                <w:rFonts w:ascii="Arial" w:cs="Arial" w:eastAsia="Arial" w:hAnsi="Arial"/>
                <w:sz w:val="16"/>
                <w:szCs w:val="16"/>
                <w:color w:val="42B6E9"/>
              </w:rPr>
              <w:t>$115</w:t>
            </w:r>
          </w:p>
        </w:tc>
        <w:tc>
          <w:tcPr>
            <w:tcW w:w="1240" w:type="dxa"/>
            <w:vAlign w:val="bottom"/>
            <w:shd w:val="clear" w:color="auto" w:fill="E9F8FD"/>
          </w:tcPr>
          <w:p>
            <w:pPr>
              <w:jc w:val="right"/>
              <w:ind w:right="204"/>
              <w:spacing w:after="0"/>
              <w:rPr>
                <w:sz w:val="20"/>
                <w:szCs w:val="20"/>
                <w:color w:val="auto"/>
              </w:rPr>
            </w:pPr>
            <w:r>
              <w:rPr>
                <w:rFonts w:ascii="Arial" w:cs="Arial" w:eastAsia="Arial" w:hAnsi="Arial"/>
                <w:sz w:val="16"/>
                <w:szCs w:val="16"/>
                <w:color w:val="42B6E9"/>
              </w:rPr>
              <w:t>2,505,370</w:t>
            </w:r>
          </w:p>
        </w:tc>
        <w:tc>
          <w:tcPr>
            <w:tcW w:w="1220" w:type="dxa"/>
            <w:vAlign w:val="bottom"/>
            <w:shd w:val="clear" w:color="auto" w:fill="E9F8FD"/>
          </w:tcPr>
          <w:p>
            <w:pPr>
              <w:jc w:val="right"/>
              <w:ind w:right="44"/>
              <w:spacing w:after="0"/>
              <w:rPr>
                <w:sz w:val="20"/>
                <w:szCs w:val="20"/>
                <w:color w:val="auto"/>
              </w:rPr>
            </w:pPr>
            <w:r>
              <w:rPr>
                <w:rFonts w:ascii="Arial" w:cs="Arial" w:eastAsia="Arial" w:hAnsi="Arial"/>
                <w:sz w:val="16"/>
                <w:szCs w:val="16"/>
                <w:color w:val="42B6E9"/>
              </w:rPr>
              <w:t>25%</w:t>
            </w:r>
          </w:p>
        </w:tc>
      </w:tr>
      <w:tr>
        <w:trPr>
          <w:trHeight w:val="378"/>
        </w:trPr>
        <w:tc>
          <w:tcPr>
            <w:tcW w:w="3940" w:type="dxa"/>
            <w:vAlign w:val="bottom"/>
            <w:shd w:val="clear" w:color="auto" w:fill="E9F8FD"/>
          </w:tcPr>
          <w:p>
            <w:pPr>
              <w:ind w:left="80"/>
              <w:spacing w:after="0"/>
              <w:rPr>
                <w:sz w:val="20"/>
                <w:szCs w:val="20"/>
                <w:color w:val="auto"/>
              </w:rPr>
            </w:pPr>
            <w:r>
              <w:rPr>
                <w:rFonts w:ascii="Arial" w:cs="Arial" w:eastAsia="Arial" w:hAnsi="Arial"/>
                <w:sz w:val="16"/>
                <w:szCs w:val="16"/>
                <w:color w:val="42B6E9"/>
              </w:rPr>
              <w:t>5</w:t>
            </w:r>
          </w:p>
        </w:tc>
        <w:tc>
          <w:tcPr>
            <w:tcW w:w="1840" w:type="dxa"/>
            <w:vAlign w:val="bottom"/>
            <w:shd w:val="clear" w:color="auto" w:fill="E9F8FD"/>
          </w:tcPr>
          <w:p>
            <w:pPr>
              <w:jc w:val="right"/>
              <w:ind w:right="163"/>
              <w:spacing w:after="0"/>
              <w:rPr>
                <w:sz w:val="20"/>
                <w:szCs w:val="20"/>
                <w:color w:val="auto"/>
              </w:rPr>
            </w:pPr>
            <w:r>
              <w:rPr>
                <w:rFonts w:ascii="Arial" w:cs="Arial" w:eastAsia="Arial" w:hAnsi="Arial"/>
                <w:sz w:val="16"/>
                <w:szCs w:val="16"/>
                <w:color w:val="42B6E9"/>
              </w:rPr>
              <w:t>500%</w:t>
            </w:r>
          </w:p>
        </w:tc>
        <w:tc>
          <w:tcPr>
            <w:tcW w:w="1320" w:type="dxa"/>
            <w:vAlign w:val="bottom"/>
            <w:shd w:val="clear" w:color="auto" w:fill="E9F8FD"/>
          </w:tcPr>
          <w:p>
            <w:pPr>
              <w:ind w:left="700"/>
              <w:spacing w:after="0"/>
              <w:rPr>
                <w:sz w:val="20"/>
                <w:szCs w:val="20"/>
                <w:color w:val="auto"/>
              </w:rPr>
            </w:pPr>
            <w:r>
              <w:rPr>
                <w:rFonts w:ascii="Arial" w:cs="Arial" w:eastAsia="Arial" w:hAnsi="Arial"/>
                <w:sz w:val="16"/>
                <w:szCs w:val="16"/>
                <w:color w:val="42B6E9"/>
              </w:rPr>
              <w:t>$138</w:t>
            </w:r>
          </w:p>
        </w:tc>
        <w:tc>
          <w:tcPr>
            <w:tcW w:w="1240" w:type="dxa"/>
            <w:vAlign w:val="bottom"/>
            <w:shd w:val="clear" w:color="auto" w:fill="E9F8FD"/>
          </w:tcPr>
          <w:p>
            <w:pPr>
              <w:jc w:val="right"/>
              <w:ind w:right="204"/>
              <w:spacing w:after="0"/>
              <w:rPr>
                <w:sz w:val="20"/>
                <w:szCs w:val="20"/>
                <w:color w:val="auto"/>
              </w:rPr>
            </w:pPr>
            <w:r>
              <w:rPr>
                <w:rFonts w:ascii="Arial" w:cs="Arial" w:eastAsia="Arial" w:hAnsi="Arial"/>
                <w:sz w:val="16"/>
                <w:szCs w:val="16"/>
                <w:color w:val="42B6E9"/>
              </w:rPr>
              <w:t>3,006,450</w:t>
            </w:r>
          </w:p>
        </w:tc>
        <w:tc>
          <w:tcPr>
            <w:tcW w:w="1220" w:type="dxa"/>
            <w:vAlign w:val="bottom"/>
            <w:shd w:val="clear" w:color="auto" w:fill="E9F8FD"/>
          </w:tcPr>
          <w:p>
            <w:pPr>
              <w:jc w:val="right"/>
              <w:ind w:right="44"/>
              <w:spacing w:after="0"/>
              <w:rPr>
                <w:sz w:val="20"/>
                <w:szCs w:val="20"/>
                <w:color w:val="auto"/>
              </w:rPr>
            </w:pPr>
            <w:r>
              <w:rPr>
                <w:rFonts w:ascii="Arial" w:cs="Arial" w:eastAsia="Arial" w:hAnsi="Arial"/>
                <w:sz w:val="16"/>
                <w:szCs w:val="16"/>
                <w:color w:val="42B6E9"/>
              </w:rPr>
              <w:t>30%</w:t>
            </w:r>
          </w:p>
        </w:tc>
      </w:tr>
      <w:tr>
        <w:trPr>
          <w:trHeight w:val="60"/>
        </w:trPr>
        <w:tc>
          <w:tcPr>
            <w:tcW w:w="3940" w:type="dxa"/>
            <w:vAlign w:val="bottom"/>
            <w:shd w:val="clear" w:color="auto" w:fill="E9F8FD"/>
          </w:tcPr>
          <w:p>
            <w:pPr>
              <w:spacing w:after="0"/>
              <w:rPr>
                <w:sz w:val="5"/>
                <w:szCs w:val="5"/>
                <w:color w:val="auto"/>
              </w:rPr>
            </w:pPr>
          </w:p>
        </w:tc>
        <w:tc>
          <w:tcPr>
            <w:tcW w:w="1840" w:type="dxa"/>
            <w:vAlign w:val="bottom"/>
            <w:shd w:val="clear" w:color="auto" w:fill="E9F8FD"/>
          </w:tcPr>
          <w:p>
            <w:pPr>
              <w:spacing w:after="0"/>
              <w:rPr>
                <w:sz w:val="5"/>
                <w:szCs w:val="5"/>
                <w:color w:val="auto"/>
              </w:rPr>
            </w:pPr>
          </w:p>
        </w:tc>
        <w:tc>
          <w:tcPr>
            <w:tcW w:w="1320" w:type="dxa"/>
            <w:vAlign w:val="bottom"/>
            <w:shd w:val="clear" w:color="auto" w:fill="E9F8FD"/>
          </w:tcPr>
          <w:p>
            <w:pPr>
              <w:spacing w:after="0"/>
              <w:rPr>
                <w:sz w:val="5"/>
                <w:szCs w:val="5"/>
                <w:color w:val="auto"/>
              </w:rPr>
            </w:pPr>
          </w:p>
        </w:tc>
        <w:tc>
          <w:tcPr>
            <w:tcW w:w="1240" w:type="dxa"/>
            <w:vAlign w:val="bottom"/>
            <w:shd w:val="clear" w:color="auto" w:fill="E9F8FD"/>
          </w:tcPr>
          <w:p>
            <w:pPr>
              <w:spacing w:after="0"/>
              <w:rPr>
                <w:sz w:val="5"/>
                <w:szCs w:val="5"/>
                <w:color w:val="auto"/>
              </w:rPr>
            </w:pPr>
          </w:p>
        </w:tc>
        <w:tc>
          <w:tcPr>
            <w:tcW w:w="1220" w:type="dxa"/>
            <w:vAlign w:val="bottom"/>
            <w:shd w:val="clear" w:color="auto" w:fill="E9F8FD"/>
          </w:tcPr>
          <w:p>
            <w:pPr>
              <w:spacing w:after="0"/>
              <w:rPr>
                <w:sz w:val="5"/>
                <w:szCs w:val="5"/>
                <w:color w:val="auto"/>
              </w:rPr>
            </w:pPr>
          </w:p>
        </w:tc>
      </w:tr>
    </w:tbl>
    <w:p>
      <w:pPr>
        <w:spacing w:after="0" w:line="177" w:lineRule="exact"/>
        <w:rPr>
          <w:sz w:val="20"/>
          <w:szCs w:val="20"/>
          <w:color w:val="auto"/>
        </w:rPr>
      </w:pPr>
    </w:p>
    <w:p>
      <w:pPr>
        <w:ind w:left="720" w:right="800"/>
        <w:spacing w:after="0" w:line="250" w:lineRule="auto"/>
        <w:rPr>
          <w:sz w:val="20"/>
          <w:szCs w:val="20"/>
          <w:color w:val="auto"/>
        </w:rPr>
      </w:pPr>
      <w:r>
        <w:rPr>
          <w:rFonts w:ascii="Arial" w:cs="Arial" w:eastAsia="Arial" w:hAnsi="Arial"/>
          <w:sz w:val="16"/>
          <w:szCs w:val="16"/>
          <w:color w:val="auto"/>
        </w:rPr>
        <w:t>In order for any of these RSUs to be earned and vest, and except as described below in connection with certain change in control transactions, Mr. Szulczewski must remain employed as our CEO through at least the second anniversary of our initial public offering and thereafter he must continue to serve as our CEO as of each applicable Company Stock Price Target achievement date. If our Class A common stock price fails to reach a Company Stock Price Target during the performance period, that portion of the CEO Performance Award will not vest (except as described below).</w:t>
      </w:r>
    </w:p>
    <w:p>
      <w:pPr>
        <w:spacing w:after="0" w:line="149" w:lineRule="exact"/>
        <w:rPr>
          <w:sz w:val="20"/>
          <w:szCs w:val="20"/>
          <w:color w:val="auto"/>
        </w:rPr>
      </w:pPr>
    </w:p>
    <w:p>
      <w:pPr>
        <w:ind w:left="720" w:right="760"/>
        <w:spacing w:after="0" w:line="247" w:lineRule="auto"/>
        <w:rPr>
          <w:sz w:val="20"/>
          <w:szCs w:val="20"/>
          <w:color w:val="auto"/>
        </w:rPr>
      </w:pPr>
      <w:r>
        <w:rPr>
          <w:rFonts w:ascii="Arial" w:cs="Arial" w:eastAsia="Arial" w:hAnsi="Arial"/>
          <w:sz w:val="16"/>
          <w:szCs w:val="16"/>
          <w:color w:val="auto"/>
        </w:rPr>
        <w:t>Under the terms of the CEO Performance Award, certain of the Company Stock Price Targets may also be achieved in connection with a change in control of our company, such that Mr. Szulczewski could earn and vest in up to all of the RSUs. In connection with a change in control (as defined in the applicable award agreement for the CEO Performance Award) that occurs within the first two years after our initial public offering and subject to Mr. Szulczewski continuing to serve as our CEO through immediately prior to the change in control, he could earn and vest in 50% of the otherwise un-earned portion of the RSUs if the per share value of our Class A common stock in the transaction (the “deal price”) is at least equal to the Tranche 1 Company Stock Price Target, and he could earn and vest in all the RSUs if the deal price is at least equal to the Tranche 2 Company Stock Price Target, except if he incurs an involuntary termination of employment (as such term is defined in the CEO Performance Award agreement) after the change in control and prior to the second anniversary of our initial public offering, then 100% of the RSUs that he would have otherwise been entitled to earn if he had continued to serve as our CEO through the second anniversary of our initial public offering will immediately vest, subject to his compliance with the terms of his severance and change in control agreement with us. Thereafter, he could earn and vest in all the RSUs on a change in control occurring after the second anniversary and on or prior to the fourth anniversary of our initial public offering if the deal price is at least equal to the Tranche 2 Company Stock Price Target and on a change in control occurring after the fourth anniversary of our initial public offering if the deal price is above the Tranche 4 Company Stock Price Target, in each case, subject to him continuing to serve as our CEO through immediately prior to the change in control.</w:t>
      </w:r>
    </w:p>
    <w:p>
      <w:pPr>
        <w:spacing w:after="0" w:line="353"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42B6E9"/>
        </w:rPr>
        <w:t>Health and Welfare Benefits</w:t>
      </w:r>
    </w:p>
    <w:p>
      <w:pPr>
        <w:spacing w:after="0" w:line="66" w:lineRule="exact"/>
        <w:rPr>
          <w:sz w:val="20"/>
          <w:szCs w:val="20"/>
          <w:color w:val="auto"/>
        </w:rPr>
      </w:pPr>
    </w:p>
    <w:p>
      <w:pPr>
        <w:ind w:left="720" w:right="880"/>
        <w:spacing w:after="0" w:line="251" w:lineRule="auto"/>
        <w:rPr>
          <w:sz w:val="20"/>
          <w:szCs w:val="20"/>
          <w:color w:val="auto"/>
        </w:rPr>
      </w:pPr>
      <w:r>
        <w:rPr>
          <w:rFonts w:ascii="Arial" w:cs="Arial" w:eastAsia="Arial" w:hAnsi="Arial"/>
          <w:sz w:val="16"/>
          <w:szCs w:val="16"/>
          <w:color w:val="auto"/>
        </w:rPr>
        <w:t>Our named executive officers are eligible to participate in the same employee benefit plans, and on the same terms and conditions, as all other full-time, salaried U.S. employees. These benefits include medical, dental, and vision insurance, business travel insurance, an employee assistance program, health and dependent care flexible spending accounts, basic life insurance, accidental death and dismemberment insurance, short-term and long-term disability insurance, and commuter benefits.</w:t>
      </w:r>
    </w:p>
    <w:p>
      <w:pPr>
        <w:spacing w:after="0" w:line="148" w:lineRule="exact"/>
        <w:rPr>
          <w:sz w:val="20"/>
          <w:szCs w:val="20"/>
          <w:color w:val="auto"/>
        </w:rPr>
      </w:pPr>
    </w:p>
    <w:p>
      <w:pPr>
        <w:ind w:left="720" w:right="1020"/>
        <w:spacing w:after="0" w:line="253" w:lineRule="auto"/>
        <w:rPr>
          <w:sz w:val="20"/>
          <w:szCs w:val="20"/>
          <w:color w:val="auto"/>
        </w:rPr>
      </w:pPr>
      <w:r>
        <w:rPr>
          <w:rFonts w:ascii="Arial" w:cs="Arial" w:eastAsia="Arial" w:hAnsi="Arial"/>
          <w:sz w:val="16"/>
          <w:szCs w:val="16"/>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343"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42B6E9"/>
        </w:rPr>
        <w:t>Retirement Benefits</w:t>
      </w:r>
    </w:p>
    <w:p>
      <w:pPr>
        <w:spacing w:after="0" w:line="66" w:lineRule="exact"/>
        <w:rPr>
          <w:sz w:val="20"/>
          <w:szCs w:val="20"/>
          <w:color w:val="auto"/>
        </w:rPr>
      </w:pPr>
    </w:p>
    <w:p>
      <w:pPr>
        <w:ind w:left="720" w:right="800"/>
        <w:spacing w:after="0" w:line="251" w:lineRule="auto"/>
        <w:rPr>
          <w:sz w:val="20"/>
          <w:szCs w:val="20"/>
          <w:color w:val="auto"/>
        </w:rPr>
      </w:pPr>
      <w:r>
        <w:rPr>
          <w:rFonts w:ascii="Arial" w:cs="Arial" w:eastAsia="Arial" w:hAnsi="Arial"/>
          <w:sz w:val="16"/>
          <w:szCs w:val="16"/>
          <w:color w:val="auto"/>
        </w:rPr>
        <w:t>We maintain a Section 401(k) plan for our employees, including our named executive officers. The Section 401(k) plan is intended to qualify under Section 401(k) of the Code, so that contributions to the plan by employees or by us, and the investment earnings thereon, are not taxable to the employees until withdrawn, and so that contributions made by us, if any, will be deductible by us when made. Currently, we do not provide company matching contributions to participants in the Section 401(k) plan.</w:t>
      </w:r>
    </w:p>
    <w:p>
      <w:pPr>
        <w:spacing w:after="0" w:line="148" w:lineRule="exact"/>
        <w:rPr>
          <w:sz w:val="20"/>
          <w:szCs w:val="20"/>
          <w:color w:val="auto"/>
        </w:rPr>
      </w:pPr>
    </w:p>
    <w:p>
      <w:pPr>
        <w:ind w:left="720" w:right="960"/>
        <w:spacing w:after="0" w:line="260" w:lineRule="auto"/>
        <w:rPr>
          <w:sz w:val="20"/>
          <w:szCs w:val="20"/>
          <w:color w:val="auto"/>
        </w:rPr>
      </w:pPr>
      <w:r>
        <w:rPr>
          <w:rFonts w:ascii="Arial" w:cs="Arial" w:eastAsia="Arial" w:hAnsi="Arial"/>
          <w:sz w:val="16"/>
          <w:szCs w:val="16"/>
          <w:color w:val="auto"/>
        </w:rPr>
        <w:t>We do not provide pension arrangements for our named executive officers or other employees, nor do we provide any nonqualified defined contribution or other deferred compensation plans to any of our employees.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060"/>
              <w:spacing w:after="0"/>
              <w:rPr>
                <w:sz w:val="20"/>
                <w:szCs w:val="20"/>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23</w:t>
            </w:r>
          </w:p>
        </w:tc>
      </w:tr>
      <w:tr>
        <w:trPr>
          <w:trHeight w:val="167"/>
        </w:trPr>
        <w:tc>
          <w:tcPr>
            <w:tcW w:w="9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28" w:name="page29"/>
    <w:bookmarkEnd w:id="28"/>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42B6E9"/>
        </w:rPr>
        <w:t>EXECUTIVE COMPENSATION (continued)</w:t>
      </w:r>
    </w:p>
    <w:p>
      <w:pPr>
        <w:spacing w:after="0" w:line="36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42B6E9"/>
        </w:rPr>
        <w:t>Perquisites and other Personal Benefits</w:t>
      </w:r>
    </w:p>
    <w:p>
      <w:pPr>
        <w:spacing w:after="0" w:line="52" w:lineRule="exact"/>
        <w:rPr>
          <w:sz w:val="20"/>
          <w:szCs w:val="20"/>
          <w:color w:val="auto"/>
        </w:rPr>
      </w:pPr>
    </w:p>
    <w:p>
      <w:pPr>
        <w:ind w:left="4" w:right="40"/>
        <w:spacing w:after="0" w:line="249" w:lineRule="auto"/>
        <w:rPr>
          <w:sz w:val="20"/>
          <w:szCs w:val="20"/>
          <w:color w:val="auto"/>
        </w:rPr>
      </w:pPr>
      <w:r>
        <w:rPr>
          <w:rFonts w:ascii="Arial" w:cs="Arial" w:eastAsia="Arial" w:hAnsi="Arial"/>
          <w:sz w:val="16"/>
          <w:szCs w:val="16"/>
          <w:color w:val="auto"/>
        </w:rPr>
        <w:t>Currently, we do not view perquisites or other personal benefits as a significant component of our executive compensation program. Accordingly, we do not provide significant perquisites or other personal benefits to our named executive officers except as generally made available to our employees or in situations where we believe it is appropriate to assist an individual in the performance of his or her duties, to make him or her more efficient and effective, and for recruitment and retention purposes. During 2020, none of our named executive officers received perquisites or other personal benefits that were, in the aggregate, $10,000 or more for each individual.</w:t>
      </w:r>
    </w:p>
    <w:p>
      <w:pPr>
        <w:spacing w:after="0" w:line="151" w:lineRule="exact"/>
        <w:rPr>
          <w:sz w:val="20"/>
          <w:szCs w:val="20"/>
          <w:color w:val="auto"/>
        </w:rPr>
      </w:pPr>
    </w:p>
    <w:p>
      <w:pPr>
        <w:ind w:left="4" w:right="580"/>
        <w:spacing w:after="0" w:line="253" w:lineRule="auto"/>
        <w:rPr>
          <w:sz w:val="20"/>
          <w:szCs w:val="20"/>
          <w:color w:val="auto"/>
        </w:rPr>
      </w:pPr>
      <w:r>
        <w:rPr>
          <w:rFonts w:ascii="Arial" w:cs="Arial" w:eastAsia="Arial" w:hAnsi="Arial"/>
          <w:sz w:val="16"/>
          <w:szCs w:val="16"/>
          <w:color w:val="auto"/>
        </w:rPr>
        <w:t>In the future, we may provide perquisites or other personal benefits in limited circumstances, such as those described in the preceding paragraph. All future practices with respect to perquisites or other personal benefits will be approved and subject to periodic review by the Compensation Committee.</w:t>
      </w:r>
    </w:p>
    <w:p>
      <w:pPr>
        <w:spacing w:after="0" w:line="30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42B6E9"/>
        </w:rPr>
        <w:t>Employment Arrangements</w:t>
      </w:r>
    </w:p>
    <w:p>
      <w:pPr>
        <w:spacing w:after="0" w:line="66" w:lineRule="exact"/>
        <w:rPr>
          <w:sz w:val="20"/>
          <w:szCs w:val="20"/>
          <w:color w:val="auto"/>
        </w:rPr>
      </w:pPr>
    </w:p>
    <w:p>
      <w:pPr>
        <w:ind w:left="4" w:right="20"/>
        <w:spacing w:after="0" w:line="260" w:lineRule="auto"/>
        <w:rPr>
          <w:sz w:val="20"/>
          <w:szCs w:val="20"/>
          <w:color w:val="auto"/>
        </w:rPr>
      </w:pPr>
      <w:r>
        <w:rPr>
          <w:rFonts w:ascii="Arial" w:cs="Arial" w:eastAsia="Arial" w:hAnsi="Arial"/>
          <w:sz w:val="16"/>
          <w:szCs w:val="16"/>
          <w:color w:val="auto"/>
        </w:rPr>
        <w:t>We have entered into written employment offer letters with each of our named executive officers. We believe that these arrangements were necessary to secure the service of these individuals in a highly competitive job market.</w:t>
      </w:r>
    </w:p>
    <w:p>
      <w:pPr>
        <w:spacing w:after="0" w:line="141" w:lineRule="exact"/>
        <w:rPr>
          <w:sz w:val="20"/>
          <w:szCs w:val="20"/>
          <w:color w:val="auto"/>
        </w:rPr>
      </w:pPr>
    </w:p>
    <w:p>
      <w:pPr>
        <w:ind w:left="4" w:right="20"/>
        <w:spacing w:after="0" w:line="250" w:lineRule="auto"/>
        <w:rPr>
          <w:sz w:val="20"/>
          <w:szCs w:val="20"/>
          <w:color w:val="auto"/>
        </w:rPr>
      </w:pPr>
      <w:r>
        <w:rPr>
          <w:rFonts w:ascii="Arial" w:cs="Arial" w:eastAsia="Arial" w:hAnsi="Arial"/>
          <w:sz w:val="16"/>
          <w:szCs w:val="16"/>
          <w:color w:val="auto"/>
        </w:rPr>
        <w:t>Each of these employment offer letters does not have a specific term, provides for “at will” employment (meaning that either we or the named executive officer may terminate the employment relationship at any time without cause) and generally sets forth the named executive officer’s initial base salary, eligibility to participate in our standard employee benefit plans and programs, and includes a recommendation for an equity award to be approved by our Board of Directors. In addition, each of these employment offer letters required the named executive officer to execute our standard Proprietary (Confidential) Information and Inventions Agreement.</w:t>
      </w:r>
    </w:p>
    <w:p>
      <w:pPr>
        <w:spacing w:after="0" w:line="149" w:lineRule="exact"/>
        <w:rPr>
          <w:sz w:val="20"/>
          <w:szCs w:val="20"/>
          <w:color w:val="auto"/>
        </w:rPr>
      </w:pPr>
    </w:p>
    <w:p>
      <w:pPr>
        <w:ind w:left="4"/>
        <w:spacing w:after="0" w:line="253" w:lineRule="auto"/>
        <w:rPr>
          <w:sz w:val="20"/>
          <w:szCs w:val="20"/>
          <w:color w:val="auto"/>
        </w:rPr>
      </w:pPr>
      <w:r>
        <w:rPr>
          <w:rFonts w:ascii="Arial" w:cs="Arial" w:eastAsia="Arial" w:hAnsi="Arial"/>
          <w:sz w:val="16"/>
          <w:szCs w:val="16"/>
          <w:color w:val="auto"/>
        </w:rPr>
        <w:t>Our named executive officers are also eligible for certain severance and change in control-related acceleration benefits pursuant to either their offer letters or severance and change in control agreements, as described further in “Potential Payments upon Termination or Change in Control” below.</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42B6E9"/>
        </w:rPr>
        <w:t>Tax and Accounting Considerations</w:t>
      </w:r>
    </w:p>
    <w:p>
      <w:pPr>
        <w:spacing w:after="0" w:line="106" w:lineRule="exact"/>
        <w:rPr>
          <w:sz w:val="20"/>
          <w:szCs w:val="20"/>
          <w:color w:val="auto"/>
        </w:rPr>
      </w:pPr>
    </w:p>
    <w:p>
      <w:pPr>
        <w:ind w:left="4"/>
        <w:spacing w:after="0"/>
        <w:rPr>
          <w:sz w:val="20"/>
          <w:szCs w:val="20"/>
          <w:color w:val="auto"/>
        </w:rPr>
      </w:pPr>
      <w:r>
        <w:rPr>
          <w:rFonts w:ascii="Arial" w:cs="Arial" w:eastAsia="Arial" w:hAnsi="Arial"/>
          <w:sz w:val="16"/>
          <w:szCs w:val="16"/>
          <w:color w:val="auto"/>
        </w:rPr>
        <w:t>As a general matter, we review and consider the various tax and accounting implications of the compensation vehicles that we use.</w:t>
      </w:r>
    </w:p>
    <w:p>
      <w:pPr>
        <w:spacing w:after="0" w:line="30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42B6E9"/>
        </w:rPr>
        <w:t>Deductibility of Executive Compensation</w:t>
      </w:r>
    </w:p>
    <w:p>
      <w:pPr>
        <w:spacing w:after="0" w:line="66" w:lineRule="exact"/>
        <w:rPr>
          <w:sz w:val="20"/>
          <w:szCs w:val="20"/>
          <w:color w:val="auto"/>
        </w:rPr>
      </w:pPr>
    </w:p>
    <w:p>
      <w:pPr>
        <w:ind w:left="4" w:right="40"/>
        <w:spacing w:after="0" w:line="260" w:lineRule="auto"/>
        <w:rPr>
          <w:sz w:val="20"/>
          <w:szCs w:val="20"/>
          <w:color w:val="auto"/>
        </w:rPr>
      </w:pPr>
      <w:r>
        <w:rPr>
          <w:rFonts w:ascii="Arial" w:cs="Arial" w:eastAsia="Arial" w:hAnsi="Arial"/>
          <w:sz w:val="16"/>
          <w:szCs w:val="16"/>
          <w:color w:val="auto"/>
        </w:rPr>
        <w:t>In approving the amount and form of compensation for our named executive officers, our Board of Directors will consider all elements of our cost of providing such compensation, including the potential impact of Section 162(m) of the Internal Revenue Code.</w:t>
      </w:r>
    </w:p>
    <w:p>
      <w:pPr>
        <w:spacing w:after="0" w:line="141" w:lineRule="exact"/>
        <w:rPr>
          <w:sz w:val="20"/>
          <w:szCs w:val="20"/>
          <w:color w:val="auto"/>
        </w:rPr>
      </w:pPr>
    </w:p>
    <w:p>
      <w:pPr>
        <w:ind w:left="4" w:right="80"/>
        <w:spacing w:after="0" w:line="251" w:lineRule="auto"/>
        <w:rPr>
          <w:sz w:val="20"/>
          <w:szCs w:val="20"/>
          <w:color w:val="auto"/>
        </w:rPr>
      </w:pPr>
      <w:r>
        <w:rPr>
          <w:rFonts w:ascii="Arial" w:cs="Arial" w:eastAsia="Arial" w:hAnsi="Arial"/>
          <w:sz w:val="16"/>
          <w:szCs w:val="16"/>
          <w:color w:val="auto"/>
        </w:rPr>
        <w:t>Our Board of Directors believes that our stockholders’ interests are best served if its discretion and flexibility in awarding compensation is not restricted, even though some portion may result in non-deductible compensation expense. Thus, we expect that in future years, some portion of the compensation of our named executive officers may not be fully deductible by us for federal income tax purposes.</w:t>
      </w:r>
    </w:p>
    <w:p>
      <w:pPr>
        <w:spacing w:after="0" w:line="30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42B6E9"/>
        </w:rPr>
        <w:t>Accounting Implications</w:t>
      </w:r>
    </w:p>
    <w:p>
      <w:pPr>
        <w:spacing w:after="0" w:line="52" w:lineRule="exact"/>
        <w:rPr>
          <w:sz w:val="20"/>
          <w:szCs w:val="20"/>
          <w:color w:val="auto"/>
        </w:rPr>
      </w:pPr>
    </w:p>
    <w:p>
      <w:pPr>
        <w:ind w:left="4" w:right="60"/>
        <w:spacing w:after="0" w:line="248" w:lineRule="auto"/>
        <w:rPr>
          <w:sz w:val="20"/>
          <w:szCs w:val="20"/>
          <w:color w:val="auto"/>
        </w:rPr>
      </w:pPr>
      <w:r>
        <w:rPr>
          <w:rFonts w:ascii="Arial" w:cs="Arial" w:eastAsia="Arial" w:hAnsi="Arial"/>
          <w:sz w:val="16"/>
          <w:szCs w:val="16"/>
          <w:color w:val="auto"/>
        </w:rPr>
        <w:t>We follow FASB ASC Topic 718, Compensation—Stock Compensation, for our stock-based compensation awards. FASB ASC Topic 718 requires us to measure the compensation expense for all share-based payments made to our employees and the members of our Board of Directors, including options to purchase shares of our common stock and other stock-based awards, based on the grant date “fair value” of these awards. This calculation is performed for financial accounting purposes and reported in the compensation tables below, even though recipients may never realize any value from their awards. FASB ASC Topic 718 also requires us to recognize the compensation cost of our share-based compensation awards in our income statements over the period that a recipient is required to render services in exchange for the option or other award.</w:t>
      </w:r>
    </w:p>
    <w:p>
      <w:pPr>
        <w:spacing w:after="0" w:line="32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42B6E9"/>
        </w:rPr>
        <w:t>Elements of Total Compensation—Risks and Mitigating Factors</w:t>
      </w:r>
    </w:p>
    <w:p>
      <w:pPr>
        <w:spacing w:after="0" w:line="52" w:lineRule="exact"/>
        <w:rPr>
          <w:sz w:val="20"/>
          <w:szCs w:val="20"/>
          <w:color w:val="auto"/>
        </w:rPr>
      </w:pPr>
    </w:p>
    <w:p>
      <w:pPr>
        <w:ind w:left="4" w:right="40"/>
        <w:spacing w:after="0" w:line="248" w:lineRule="auto"/>
        <w:rPr>
          <w:sz w:val="20"/>
          <w:szCs w:val="20"/>
          <w:color w:val="auto"/>
        </w:rPr>
      </w:pPr>
      <w:r>
        <w:rPr>
          <w:rFonts w:ascii="Arial" w:cs="Arial" w:eastAsia="Arial" w:hAnsi="Arial"/>
          <w:sz w:val="16"/>
          <w:szCs w:val="16"/>
          <w:color w:val="auto"/>
        </w:rPr>
        <w:t>We believe that the structure of our executive compensation program provides a mix of cash and equity compensation that balances short- and long-term incentives. We believe that the different time horizons and metrics used in the annual and long-term elements of compensation provide incentives to build our business prudently and profitably over time, while encouraging retention of our top talent. In addition, each element of compensation has been designed and is administered in a manner intended to minimize potential risks to us. The result is a program that we believe mitigates inappropriate risk taking and aligns the interests of our executive officers with those of our stockholders. Moreover, we have determined that any risks arising from our compensation policies and practices for all of our employees are not reasonably likely to have a material adverse effect on us.</w:t>
      </w:r>
    </w:p>
    <w:p>
      <w:pPr>
        <w:spacing w:after="0" w:line="193" w:lineRule="exact"/>
        <w:rPr>
          <w:sz w:val="20"/>
          <w:szCs w:val="20"/>
          <w:color w:val="auto"/>
        </w:rPr>
      </w:pPr>
    </w:p>
    <w:p>
      <w:pPr>
        <w:ind w:left="524" w:hanging="524"/>
        <w:spacing w:after="0"/>
        <w:tabs>
          <w:tab w:leader="none" w:pos="524"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29" w:name="page30"/>
    <w:bookmarkEnd w:id="29"/>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42B6E9"/>
        </w:rPr>
        <w:t>EXECUTIVE COMPENSATION (continued)</w:t>
      </w:r>
    </w:p>
    <w:p>
      <w:pPr>
        <w:spacing w:after="0" w:line="351" w:lineRule="exact"/>
        <w:rPr>
          <w:sz w:val="20"/>
          <w:szCs w:val="20"/>
          <w:color w:val="auto"/>
        </w:rPr>
      </w:pPr>
    </w:p>
    <w:p>
      <w:pPr>
        <w:ind w:left="720"/>
        <w:spacing w:after="0"/>
        <w:rPr>
          <w:sz w:val="20"/>
          <w:szCs w:val="20"/>
          <w:color w:val="auto"/>
        </w:rPr>
      </w:pPr>
      <w:r>
        <w:rPr>
          <w:rFonts w:ascii="Arial" w:cs="Arial" w:eastAsia="Arial" w:hAnsi="Arial"/>
          <w:sz w:val="26"/>
          <w:szCs w:val="26"/>
          <w:color w:val="42B6E9"/>
        </w:rPr>
        <w:t>Compensation Committee Report</w:t>
      </w:r>
      <w:r>
        <w:rPr>
          <w:rFonts w:ascii="Arial" w:cs="Arial" w:eastAsia="Arial" w:hAnsi="Arial"/>
          <w:sz w:val="43"/>
          <w:szCs w:val="43"/>
          <w:color w:val="42B6E9"/>
          <w:vertAlign w:val="superscript"/>
        </w:rPr>
        <w:t>(1)</w:t>
      </w:r>
    </w:p>
    <w:p>
      <w:pPr>
        <w:ind w:left="720" w:right="840"/>
        <w:spacing w:after="0" w:line="253" w:lineRule="auto"/>
        <w:rPr>
          <w:sz w:val="20"/>
          <w:szCs w:val="20"/>
          <w:color w:val="auto"/>
        </w:rPr>
      </w:pPr>
      <w:r>
        <w:rPr>
          <w:rFonts w:ascii="Arial" w:cs="Arial" w:eastAsia="Arial" w:hAnsi="Arial"/>
          <w:sz w:val="16"/>
          <w:szCs w:val="16"/>
          <w:color w:val="auto"/>
        </w:rPr>
        <w:t>The Compensation Committee has reviewed and discussed the foregoing Compensation Discussion and Analysis with management and, based on such review and discussions, the Compensation Committee has recommended to our Board of Directors that the Compensation Discussion and Analysis be included in this Proxy Statement.</w:t>
      </w:r>
    </w:p>
    <w:p>
      <w:pPr>
        <w:spacing w:after="0" w:line="20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Submitted by the following members of the Compensation Committee:</w:t>
      </w:r>
    </w:p>
    <w:p>
      <w:pPr>
        <w:spacing w:after="0" w:line="21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Joe Lonsdale</w:t>
      </w:r>
    </w:p>
    <w:p>
      <w:pPr>
        <w:spacing w:after="0" w:line="2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Jacqueline Reses</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Tanzeen Syed</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Hans Tung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19050</wp:posOffset>
            </wp:positionV>
            <wp:extent cx="8229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8" w:lineRule="exact"/>
        <w:rPr>
          <w:sz w:val="20"/>
          <w:szCs w:val="20"/>
          <w:color w:val="auto"/>
        </w:rPr>
      </w:pPr>
    </w:p>
    <w:p>
      <w:pPr>
        <w:ind w:left="900" w:right="1000" w:hanging="184"/>
        <w:spacing w:after="0" w:line="212" w:lineRule="auto"/>
        <w:tabs>
          <w:tab w:leader="none" w:pos="900" w:val="left"/>
        </w:tabs>
        <w:numPr>
          <w:ilvl w:val="0"/>
          <w:numId w:val="40"/>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material in this report is not “soliciting material,” is not deemed “filed” with the SEC and is not to be incorporated by reference in any filing of Wish under the Securities Act or the Exchange Act, whether made before or after the date hereof and irrespective of any general incorporation language in any such filing.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060"/>
              <w:spacing w:after="0"/>
              <w:rPr>
                <w:sz w:val="20"/>
                <w:szCs w:val="20"/>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25</w:t>
            </w:r>
          </w:p>
        </w:tc>
      </w:tr>
      <w:tr>
        <w:trPr>
          <w:trHeight w:val="168"/>
        </w:trPr>
        <w:tc>
          <w:tcPr>
            <w:tcW w:w="9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30" w:name="page31"/>
    <w:bookmarkEnd w:id="30"/>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42B6E9"/>
        </w:rPr>
        <w:t>EXECUTIVE COMPENSATION (continued)</w:t>
      </w:r>
    </w:p>
    <w:p>
      <w:pPr>
        <w:spacing w:after="0" w:line="378" w:lineRule="exact"/>
        <w:rPr>
          <w:sz w:val="20"/>
          <w:szCs w:val="20"/>
          <w:color w:val="auto"/>
        </w:rPr>
      </w:pPr>
    </w:p>
    <w:p>
      <w:pPr>
        <w:ind w:left="4"/>
        <w:spacing w:after="0"/>
        <w:rPr>
          <w:sz w:val="20"/>
          <w:szCs w:val="20"/>
          <w:color w:val="auto"/>
        </w:rPr>
      </w:pPr>
      <w:r>
        <w:rPr>
          <w:rFonts w:ascii="Arial" w:cs="Arial" w:eastAsia="Arial" w:hAnsi="Arial"/>
          <w:sz w:val="26"/>
          <w:szCs w:val="26"/>
          <w:color w:val="42B6E9"/>
        </w:rPr>
        <w:t>Summary Compensation Table For 2020</w:t>
      </w:r>
    </w:p>
    <w:p>
      <w:pPr>
        <w:spacing w:after="0" w:line="169" w:lineRule="exact"/>
        <w:rPr>
          <w:sz w:val="20"/>
          <w:szCs w:val="20"/>
          <w:color w:val="auto"/>
        </w:rPr>
      </w:pPr>
    </w:p>
    <w:p>
      <w:pPr>
        <w:ind w:left="4" w:right="180"/>
        <w:spacing w:after="0" w:line="260" w:lineRule="auto"/>
        <w:rPr>
          <w:sz w:val="20"/>
          <w:szCs w:val="20"/>
          <w:color w:val="auto"/>
        </w:rPr>
      </w:pPr>
      <w:r>
        <w:rPr>
          <w:rFonts w:ascii="Arial" w:cs="Arial" w:eastAsia="Arial" w:hAnsi="Arial"/>
          <w:sz w:val="16"/>
          <w:szCs w:val="16"/>
          <w:color w:val="auto"/>
        </w:rPr>
        <w:t>The following table sets forth information concerning the total compensation awarded to, earned by, or paid to our named executive officers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6077585" cy="46291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77585" cy="4629150"/>
                    </a:xfrm>
                    <a:prstGeom prst="rect">
                      <a:avLst/>
                    </a:prstGeom>
                    <a:noFill/>
                  </pic:spPr>
                </pic:pic>
              </a:graphicData>
            </a:graphic>
          </wp:anchor>
        </w:drawing>
      </w:r>
    </w:p>
    <w:p>
      <w:pPr>
        <w:spacing w:after="0" w:line="25"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2520" w:type="dxa"/>
            <w:vAlign w:val="bottom"/>
            <w:shd w:val="clear" w:color="auto" w:fill="42B6E9"/>
          </w:tcPr>
          <w:p>
            <w:pPr>
              <w:spacing w:after="0"/>
              <w:rPr>
                <w:sz w:val="22"/>
                <w:szCs w:val="22"/>
                <w:color w:val="auto"/>
              </w:rPr>
            </w:pPr>
          </w:p>
        </w:tc>
        <w:tc>
          <w:tcPr>
            <w:tcW w:w="900" w:type="dxa"/>
            <w:vAlign w:val="bottom"/>
            <w:shd w:val="clear" w:color="auto" w:fill="42B6E9"/>
          </w:tcPr>
          <w:p>
            <w:pPr>
              <w:spacing w:after="0"/>
              <w:rPr>
                <w:sz w:val="22"/>
                <w:szCs w:val="22"/>
                <w:color w:val="auto"/>
              </w:rPr>
            </w:pPr>
          </w:p>
        </w:tc>
        <w:tc>
          <w:tcPr>
            <w:tcW w:w="1500" w:type="dxa"/>
            <w:vAlign w:val="bottom"/>
            <w:shd w:val="clear" w:color="auto" w:fill="42B6E9"/>
          </w:tcPr>
          <w:p>
            <w:pPr>
              <w:spacing w:after="0"/>
              <w:rPr>
                <w:sz w:val="22"/>
                <w:szCs w:val="22"/>
                <w:color w:val="auto"/>
              </w:rPr>
            </w:pPr>
          </w:p>
        </w:tc>
        <w:tc>
          <w:tcPr>
            <w:tcW w:w="1520" w:type="dxa"/>
            <w:vAlign w:val="bottom"/>
            <w:shd w:val="clear" w:color="auto" w:fill="42B6E9"/>
          </w:tcPr>
          <w:p>
            <w:pPr>
              <w:spacing w:after="0"/>
              <w:rPr>
                <w:sz w:val="22"/>
                <w:szCs w:val="22"/>
                <w:color w:val="auto"/>
              </w:rPr>
            </w:pPr>
          </w:p>
        </w:tc>
        <w:tc>
          <w:tcPr>
            <w:tcW w:w="174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Stock</w:t>
            </w:r>
          </w:p>
        </w:tc>
        <w:tc>
          <w:tcPr>
            <w:tcW w:w="1380" w:type="dxa"/>
            <w:vAlign w:val="bottom"/>
            <w:shd w:val="clear" w:color="auto" w:fill="42B6E9"/>
          </w:tcPr>
          <w:p>
            <w:pPr>
              <w:spacing w:after="0"/>
              <w:rPr>
                <w:sz w:val="22"/>
                <w:szCs w:val="22"/>
                <w:color w:val="auto"/>
              </w:rPr>
            </w:pPr>
          </w:p>
        </w:tc>
      </w:tr>
      <w:tr>
        <w:trPr>
          <w:trHeight w:val="148"/>
        </w:trPr>
        <w:tc>
          <w:tcPr>
            <w:tcW w:w="2520" w:type="dxa"/>
            <w:vAlign w:val="bottom"/>
            <w:shd w:val="clear" w:color="auto" w:fill="42B6E9"/>
          </w:tcPr>
          <w:p>
            <w:pPr>
              <w:ind w:left="300"/>
              <w:spacing w:after="0" w:line="148" w:lineRule="exact"/>
              <w:rPr>
                <w:sz w:val="20"/>
                <w:szCs w:val="20"/>
                <w:color w:val="auto"/>
              </w:rPr>
            </w:pPr>
            <w:r>
              <w:rPr>
                <w:rFonts w:ascii="Arial" w:cs="Arial" w:eastAsia="Arial" w:hAnsi="Arial"/>
                <w:sz w:val="14"/>
                <w:szCs w:val="14"/>
                <w:b w:val="1"/>
                <w:bCs w:val="1"/>
                <w:color w:val="FFFFFF"/>
              </w:rPr>
              <w:t>Name and Principal</w:t>
            </w:r>
          </w:p>
        </w:tc>
        <w:tc>
          <w:tcPr>
            <w:tcW w:w="900" w:type="dxa"/>
            <w:vAlign w:val="bottom"/>
            <w:shd w:val="clear" w:color="auto" w:fill="42B6E9"/>
          </w:tcPr>
          <w:p>
            <w:pPr>
              <w:spacing w:after="0"/>
              <w:rPr>
                <w:sz w:val="12"/>
                <w:szCs w:val="12"/>
                <w:color w:val="auto"/>
              </w:rPr>
            </w:pPr>
          </w:p>
        </w:tc>
        <w:tc>
          <w:tcPr>
            <w:tcW w:w="1500" w:type="dxa"/>
            <w:vAlign w:val="bottom"/>
            <w:shd w:val="clear" w:color="auto" w:fill="42B6E9"/>
          </w:tcPr>
          <w:p>
            <w:pPr>
              <w:jc w:val="right"/>
              <w:ind w:right="481"/>
              <w:spacing w:after="0" w:line="148" w:lineRule="exact"/>
              <w:rPr>
                <w:sz w:val="20"/>
                <w:szCs w:val="20"/>
                <w:color w:val="auto"/>
              </w:rPr>
            </w:pPr>
            <w:r>
              <w:rPr>
                <w:rFonts w:ascii="Arial" w:cs="Arial" w:eastAsia="Arial" w:hAnsi="Arial"/>
                <w:sz w:val="14"/>
                <w:szCs w:val="14"/>
                <w:b w:val="1"/>
                <w:bCs w:val="1"/>
                <w:color w:val="FFFFFF"/>
              </w:rPr>
              <w:t>Salary</w:t>
            </w:r>
          </w:p>
        </w:tc>
        <w:tc>
          <w:tcPr>
            <w:tcW w:w="1520" w:type="dxa"/>
            <w:vAlign w:val="bottom"/>
            <w:shd w:val="clear" w:color="auto" w:fill="42B6E9"/>
          </w:tcPr>
          <w:p>
            <w:pPr>
              <w:ind w:left="480"/>
              <w:spacing w:after="0" w:line="148" w:lineRule="exact"/>
              <w:rPr>
                <w:sz w:val="20"/>
                <w:szCs w:val="20"/>
                <w:color w:val="auto"/>
              </w:rPr>
            </w:pPr>
            <w:r>
              <w:rPr>
                <w:rFonts w:ascii="Arial" w:cs="Arial" w:eastAsia="Arial" w:hAnsi="Arial"/>
                <w:sz w:val="14"/>
                <w:szCs w:val="14"/>
                <w:b w:val="1"/>
                <w:bCs w:val="1"/>
                <w:color w:val="FFFFFF"/>
              </w:rPr>
              <w:t>Bonus</w:t>
            </w:r>
          </w:p>
        </w:tc>
        <w:tc>
          <w:tcPr>
            <w:tcW w:w="1740" w:type="dxa"/>
            <w:vAlign w:val="bottom"/>
            <w:shd w:val="clear" w:color="auto" w:fill="42B6E9"/>
          </w:tcPr>
          <w:p>
            <w:pPr>
              <w:jc w:val="center"/>
              <w:spacing w:after="0" w:line="148" w:lineRule="exact"/>
              <w:rPr>
                <w:sz w:val="20"/>
                <w:szCs w:val="20"/>
                <w:color w:val="auto"/>
              </w:rPr>
            </w:pPr>
            <w:r>
              <w:rPr>
                <w:rFonts w:ascii="Arial" w:cs="Arial" w:eastAsia="Arial" w:hAnsi="Arial"/>
                <w:sz w:val="14"/>
                <w:szCs w:val="14"/>
                <w:b w:val="1"/>
                <w:bCs w:val="1"/>
                <w:color w:val="FFFFFF"/>
              </w:rPr>
              <w:t>Awards</w:t>
            </w:r>
          </w:p>
        </w:tc>
        <w:tc>
          <w:tcPr>
            <w:tcW w:w="1380" w:type="dxa"/>
            <w:vAlign w:val="bottom"/>
            <w:shd w:val="clear" w:color="auto" w:fill="42B6E9"/>
          </w:tcPr>
          <w:p>
            <w:pPr>
              <w:jc w:val="center"/>
              <w:ind w:left="241"/>
              <w:spacing w:after="0" w:line="148" w:lineRule="exact"/>
              <w:rPr>
                <w:sz w:val="20"/>
                <w:szCs w:val="20"/>
                <w:color w:val="auto"/>
              </w:rPr>
            </w:pPr>
            <w:r>
              <w:rPr>
                <w:rFonts w:ascii="Arial" w:cs="Arial" w:eastAsia="Arial" w:hAnsi="Arial"/>
                <w:sz w:val="14"/>
                <w:szCs w:val="14"/>
                <w:b w:val="1"/>
                <w:bCs w:val="1"/>
                <w:color w:val="FFFFFF"/>
              </w:rPr>
              <w:t>Total</w:t>
            </w:r>
          </w:p>
        </w:tc>
      </w:tr>
      <w:tr>
        <w:trPr>
          <w:trHeight w:val="283"/>
        </w:trPr>
        <w:tc>
          <w:tcPr>
            <w:tcW w:w="2520" w:type="dxa"/>
            <w:vAlign w:val="bottom"/>
            <w:shd w:val="clear" w:color="auto" w:fill="42B6E9"/>
          </w:tcPr>
          <w:p>
            <w:pPr>
              <w:ind w:left="680"/>
              <w:spacing w:after="0"/>
              <w:rPr>
                <w:sz w:val="20"/>
                <w:szCs w:val="20"/>
                <w:color w:val="auto"/>
              </w:rPr>
            </w:pPr>
            <w:r>
              <w:rPr>
                <w:rFonts w:ascii="Arial" w:cs="Arial" w:eastAsia="Arial" w:hAnsi="Arial"/>
                <w:sz w:val="14"/>
                <w:szCs w:val="14"/>
                <w:b w:val="1"/>
                <w:bCs w:val="1"/>
                <w:color w:val="FFFFFF"/>
              </w:rPr>
              <w:t>Position</w:t>
            </w:r>
          </w:p>
        </w:tc>
        <w:tc>
          <w:tcPr>
            <w:tcW w:w="900" w:type="dxa"/>
            <w:vAlign w:val="bottom"/>
            <w:shd w:val="clear" w:color="auto" w:fill="42B6E9"/>
          </w:tcPr>
          <w:p>
            <w:pPr>
              <w:jc w:val="center"/>
              <w:ind w:right="160"/>
              <w:spacing w:after="0"/>
              <w:rPr>
                <w:sz w:val="20"/>
                <w:szCs w:val="20"/>
                <w:color w:val="auto"/>
              </w:rPr>
            </w:pPr>
            <w:r>
              <w:rPr>
                <w:rFonts w:ascii="Arial" w:cs="Arial" w:eastAsia="Arial" w:hAnsi="Arial"/>
                <w:sz w:val="14"/>
                <w:szCs w:val="14"/>
                <w:b w:val="1"/>
                <w:bCs w:val="1"/>
                <w:color w:val="FFFFFF"/>
                <w:w w:val="98"/>
              </w:rPr>
              <w:t>Year</w:t>
            </w:r>
          </w:p>
        </w:tc>
        <w:tc>
          <w:tcPr>
            <w:tcW w:w="1500" w:type="dxa"/>
            <w:vAlign w:val="bottom"/>
            <w:shd w:val="clear" w:color="auto" w:fill="42B6E9"/>
          </w:tcPr>
          <w:p>
            <w:pPr>
              <w:jc w:val="right"/>
              <w:ind w:right="581"/>
              <w:spacing w:after="0"/>
              <w:rPr>
                <w:sz w:val="20"/>
                <w:szCs w:val="20"/>
                <w:color w:val="auto"/>
              </w:rPr>
            </w:pPr>
            <w:r>
              <w:rPr>
                <w:rFonts w:ascii="Arial" w:cs="Arial" w:eastAsia="Arial" w:hAnsi="Arial"/>
                <w:sz w:val="14"/>
                <w:szCs w:val="14"/>
                <w:b w:val="1"/>
                <w:bCs w:val="1"/>
                <w:color w:val="FFFFFF"/>
              </w:rPr>
              <w:t>($)</w:t>
            </w:r>
          </w:p>
        </w:tc>
        <w:tc>
          <w:tcPr>
            <w:tcW w:w="1520" w:type="dxa"/>
            <w:vAlign w:val="bottom"/>
            <w:shd w:val="clear" w:color="auto" w:fill="42B6E9"/>
          </w:tcPr>
          <w:p>
            <w:pPr>
              <w:jc w:val="right"/>
              <w:ind w:right="641"/>
              <w:spacing w:after="0"/>
              <w:rPr>
                <w:sz w:val="20"/>
                <w:szCs w:val="20"/>
                <w:color w:val="auto"/>
              </w:rPr>
            </w:pPr>
            <w:r>
              <w:rPr>
                <w:rFonts w:ascii="Arial" w:cs="Arial" w:eastAsia="Arial" w:hAnsi="Arial"/>
                <w:sz w:val="14"/>
                <w:szCs w:val="14"/>
                <w:b w:val="1"/>
                <w:bCs w:val="1"/>
                <w:color w:val="FFFFFF"/>
              </w:rPr>
              <w:t>($)</w:t>
            </w:r>
          </w:p>
        </w:tc>
        <w:tc>
          <w:tcPr>
            <w:tcW w:w="1740" w:type="dxa"/>
            <w:vAlign w:val="bottom"/>
            <w:shd w:val="clear" w:color="auto" w:fill="42B6E9"/>
          </w:tcPr>
          <w:p>
            <w:pPr>
              <w:jc w:val="center"/>
              <w:spacing w:after="0" w:line="284" w:lineRule="exact"/>
              <w:rPr>
                <w:sz w:val="20"/>
                <w:szCs w:val="20"/>
                <w:color w:val="auto"/>
              </w:rPr>
            </w:pPr>
            <w:r>
              <w:rPr>
                <w:rFonts w:ascii="Arial" w:cs="Arial" w:eastAsia="Arial" w:hAnsi="Arial"/>
                <w:sz w:val="28"/>
                <w:szCs w:val="28"/>
                <w:b w:val="1"/>
                <w:bCs w:val="1"/>
                <w:color w:val="FFFFFF"/>
                <w:w w:val="85"/>
                <w:vertAlign w:val="subscript"/>
              </w:rPr>
              <w:t>($)</w:t>
            </w:r>
            <w:r>
              <w:rPr>
                <w:rFonts w:ascii="Arial" w:cs="Arial" w:eastAsia="Arial" w:hAnsi="Arial"/>
                <w:sz w:val="12"/>
                <w:szCs w:val="12"/>
                <w:b w:val="1"/>
                <w:bCs w:val="1"/>
                <w:color w:val="FFFFFF"/>
                <w:w w:val="85"/>
              </w:rPr>
              <w:t>(1)</w:t>
            </w:r>
          </w:p>
        </w:tc>
        <w:tc>
          <w:tcPr>
            <w:tcW w:w="1380" w:type="dxa"/>
            <w:vAlign w:val="bottom"/>
            <w:shd w:val="clear" w:color="auto" w:fill="42B6E9"/>
          </w:tcPr>
          <w:p>
            <w:pPr>
              <w:jc w:val="center"/>
              <w:ind w:left="281"/>
              <w:spacing w:after="0"/>
              <w:rPr>
                <w:sz w:val="20"/>
                <w:szCs w:val="20"/>
                <w:color w:val="auto"/>
              </w:rPr>
            </w:pPr>
            <w:r>
              <w:rPr>
                <w:rFonts w:ascii="Arial" w:cs="Arial" w:eastAsia="Arial" w:hAnsi="Arial"/>
                <w:sz w:val="14"/>
                <w:szCs w:val="14"/>
                <w:b w:val="1"/>
                <w:bCs w:val="1"/>
                <w:color w:val="FFFFFF"/>
              </w:rPr>
              <w:t>($)</w:t>
            </w:r>
          </w:p>
        </w:tc>
      </w:tr>
      <w:tr>
        <w:trPr>
          <w:trHeight w:val="269"/>
        </w:trPr>
        <w:tc>
          <w:tcPr>
            <w:tcW w:w="2520" w:type="dxa"/>
            <w:vAlign w:val="bottom"/>
          </w:tcPr>
          <w:p>
            <w:pPr>
              <w:ind w:left="60"/>
              <w:spacing w:after="0"/>
              <w:rPr>
                <w:sz w:val="20"/>
                <w:szCs w:val="20"/>
                <w:color w:val="auto"/>
              </w:rPr>
            </w:pPr>
            <w:r>
              <w:rPr>
                <w:rFonts w:ascii="Arial" w:cs="Arial" w:eastAsia="Arial" w:hAnsi="Arial"/>
                <w:sz w:val="16"/>
                <w:szCs w:val="16"/>
                <w:b w:val="1"/>
                <w:bCs w:val="1"/>
                <w:color w:val="42B6E9"/>
              </w:rPr>
              <w:t>Piotr Szulczewski</w:t>
            </w:r>
          </w:p>
        </w:tc>
        <w:tc>
          <w:tcPr>
            <w:tcW w:w="9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11"/>
        </w:trPr>
        <w:tc>
          <w:tcPr>
            <w:tcW w:w="2520" w:type="dxa"/>
            <w:vAlign w:val="bottom"/>
          </w:tcPr>
          <w:p>
            <w:pPr>
              <w:ind w:left="60"/>
              <w:spacing w:after="0"/>
              <w:rPr>
                <w:sz w:val="20"/>
                <w:szCs w:val="20"/>
                <w:color w:val="auto"/>
              </w:rPr>
            </w:pPr>
            <w:r>
              <w:rPr>
                <w:rFonts w:ascii="Arial" w:cs="Arial" w:eastAsia="Arial" w:hAnsi="Arial"/>
                <w:sz w:val="16"/>
                <w:szCs w:val="16"/>
                <w:i w:val="1"/>
                <w:iCs w:val="1"/>
                <w:color w:val="42B6E9"/>
              </w:rPr>
              <w:t>Founder, CEO, and Chairperson</w:t>
            </w:r>
          </w:p>
        </w:tc>
        <w:tc>
          <w:tcPr>
            <w:tcW w:w="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87"/>
        </w:trPr>
        <w:tc>
          <w:tcPr>
            <w:tcW w:w="2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380" w:type="dxa"/>
            <w:vAlign w:val="bottom"/>
          </w:tcPr>
          <w:p>
            <w:pPr>
              <w:spacing w:after="0"/>
              <w:rPr>
                <w:sz w:val="7"/>
                <w:szCs w:val="7"/>
                <w:color w:val="auto"/>
              </w:rPr>
            </w:pPr>
          </w:p>
        </w:tc>
      </w:tr>
      <w:tr>
        <w:trPr>
          <w:trHeight w:val="291"/>
        </w:trPr>
        <w:tc>
          <w:tcPr>
            <w:tcW w:w="2520" w:type="dxa"/>
            <w:vAlign w:val="bottom"/>
            <w:shd w:val="clear" w:color="auto" w:fill="E9F8FD"/>
          </w:tcPr>
          <w:p>
            <w:pPr>
              <w:spacing w:after="0"/>
              <w:rPr>
                <w:sz w:val="24"/>
                <w:szCs w:val="24"/>
                <w:color w:val="auto"/>
              </w:rPr>
            </w:pPr>
          </w:p>
        </w:tc>
        <w:tc>
          <w:tcPr>
            <w:tcW w:w="900" w:type="dxa"/>
            <w:vAlign w:val="bottom"/>
            <w:shd w:val="clear" w:color="auto" w:fill="E9F8FD"/>
          </w:tcPr>
          <w:p>
            <w:pPr>
              <w:jc w:val="center"/>
              <w:ind w:right="140"/>
              <w:spacing w:after="0"/>
              <w:rPr>
                <w:sz w:val="20"/>
                <w:szCs w:val="20"/>
                <w:color w:val="auto"/>
              </w:rPr>
            </w:pPr>
            <w:r>
              <w:rPr>
                <w:rFonts w:ascii="Arial" w:cs="Arial" w:eastAsia="Arial" w:hAnsi="Arial"/>
                <w:sz w:val="16"/>
                <w:szCs w:val="16"/>
                <w:color w:val="42B6E9"/>
              </w:rPr>
              <w:t>2020</w:t>
            </w:r>
          </w:p>
        </w:tc>
        <w:tc>
          <w:tcPr>
            <w:tcW w:w="1500" w:type="dxa"/>
            <w:vAlign w:val="bottom"/>
            <w:shd w:val="clear" w:color="auto" w:fill="E9F8FD"/>
          </w:tcPr>
          <w:p>
            <w:pPr>
              <w:jc w:val="right"/>
              <w:ind w:right="461"/>
              <w:spacing w:after="0"/>
              <w:rPr>
                <w:sz w:val="20"/>
                <w:szCs w:val="20"/>
                <w:color w:val="auto"/>
              </w:rPr>
            </w:pPr>
            <w:r>
              <w:rPr>
                <w:rFonts w:ascii="Arial" w:cs="Arial" w:eastAsia="Arial" w:hAnsi="Arial"/>
                <w:sz w:val="16"/>
                <w:szCs w:val="16"/>
                <w:color w:val="42B6E9"/>
              </w:rPr>
              <w:t>450,000</w:t>
            </w:r>
          </w:p>
        </w:tc>
        <w:tc>
          <w:tcPr>
            <w:tcW w:w="1520" w:type="dxa"/>
            <w:vAlign w:val="bottom"/>
            <w:shd w:val="clear" w:color="auto" w:fill="E9F8FD"/>
          </w:tcPr>
          <w:p>
            <w:pPr>
              <w:ind w:left="700"/>
              <w:spacing w:after="0"/>
              <w:rPr>
                <w:sz w:val="20"/>
                <w:szCs w:val="20"/>
                <w:color w:val="auto"/>
              </w:rPr>
            </w:pPr>
            <w:r>
              <w:rPr>
                <w:rFonts w:ascii="Arial" w:cs="Arial" w:eastAsia="Arial" w:hAnsi="Arial"/>
                <w:sz w:val="16"/>
                <w:szCs w:val="16"/>
                <w:color w:val="42B6E9"/>
              </w:rPr>
              <w:t>—</w:t>
            </w:r>
          </w:p>
        </w:tc>
        <w:tc>
          <w:tcPr>
            <w:tcW w:w="1740" w:type="dxa"/>
            <w:vAlign w:val="bottom"/>
            <w:shd w:val="clear" w:color="auto" w:fill="E9F8FD"/>
          </w:tcPr>
          <w:p>
            <w:pPr>
              <w:jc w:val="right"/>
              <w:ind w:right="382"/>
              <w:spacing w:after="0"/>
              <w:rPr>
                <w:sz w:val="20"/>
                <w:szCs w:val="20"/>
                <w:color w:val="auto"/>
              </w:rPr>
            </w:pPr>
            <w:r>
              <w:rPr>
                <w:rFonts w:ascii="Arial" w:cs="Arial" w:eastAsia="Arial" w:hAnsi="Arial"/>
                <w:sz w:val="16"/>
                <w:szCs w:val="16"/>
                <w:color w:val="42B6E9"/>
              </w:rPr>
              <w:t>77,741,786</w:t>
            </w:r>
          </w:p>
        </w:tc>
        <w:tc>
          <w:tcPr>
            <w:tcW w:w="1380" w:type="dxa"/>
            <w:vAlign w:val="bottom"/>
            <w:shd w:val="clear" w:color="auto" w:fill="E9F8FD"/>
          </w:tcPr>
          <w:p>
            <w:pPr>
              <w:jc w:val="center"/>
              <w:ind w:left="261"/>
              <w:spacing w:after="0"/>
              <w:rPr>
                <w:sz w:val="20"/>
                <w:szCs w:val="20"/>
                <w:color w:val="auto"/>
              </w:rPr>
            </w:pPr>
            <w:r>
              <w:rPr>
                <w:rFonts w:ascii="Arial" w:cs="Arial" w:eastAsia="Arial" w:hAnsi="Arial"/>
                <w:sz w:val="16"/>
                <w:szCs w:val="16"/>
                <w:color w:val="42B6E9"/>
                <w:w w:val="99"/>
              </w:rPr>
              <w:t>78,191,786</w:t>
            </w:r>
          </w:p>
        </w:tc>
      </w:tr>
      <w:tr>
        <w:trPr>
          <w:trHeight w:val="378"/>
        </w:trPr>
        <w:tc>
          <w:tcPr>
            <w:tcW w:w="2520" w:type="dxa"/>
            <w:vAlign w:val="bottom"/>
            <w:shd w:val="clear" w:color="auto" w:fill="E9F8FD"/>
          </w:tcPr>
          <w:p>
            <w:pPr>
              <w:spacing w:after="0"/>
              <w:rPr>
                <w:sz w:val="24"/>
                <w:szCs w:val="24"/>
                <w:color w:val="auto"/>
              </w:rPr>
            </w:pPr>
          </w:p>
        </w:tc>
        <w:tc>
          <w:tcPr>
            <w:tcW w:w="900" w:type="dxa"/>
            <w:vAlign w:val="bottom"/>
            <w:shd w:val="clear" w:color="auto" w:fill="E9F8FD"/>
          </w:tcPr>
          <w:p>
            <w:pPr>
              <w:jc w:val="center"/>
              <w:ind w:right="140"/>
              <w:spacing w:after="0"/>
              <w:rPr>
                <w:sz w:val="20"/>
                <w:szCs w:val="20"/>
                <w:color w:val="auto"/>
              </w:rPr>
            </w:pPr>
            <w:r>
              <w:rPr>
                <w:rFonts w:ascii="Arial" w:cs="Arial" w:eastAsia="Arial" w:hAnsi="Arial"/>
                <w:sz w:val="16"/>
                <w:szCs w:val="16"/>
                <w:color w:val="42B6E9"/>
              </w:rPr>
              <w:t>2019</w:t>
            </w:r>
          </w:p>
        </w:tc>
        <w:tc>
          <w:tcPr>
            <w:tcW w:w="1500" w:type="dxa"/>
            <w:vAlign w:val="bottom"/>
            <w:shd w:val="clear" w:color="auto" w:fill="E9F8FD"/>
          </w:tcPr>
          <w:p>
            <w:pPr>
              <w:jc w:val="right"/>
              <w:ind w:right="461"/>
              <w:spacing w:after="0"/>
              <w:rPr>
                <w:sz w:val="20"/>
                <w:szCs w:val="20"/>
                <w:color w:val="auto"/>
              </w:rPr>
            </w:pPr>
            <w:r>
              <w:rPr>
                <w:rFonts w:ascii="Arial" w:cs="Arial" w:eastAsia="Arial" w:hAnsi="Arial"/>
                <w:sz w:val="16"/>
                <w:szCs w:val="16"/>
                <w:color w:val="42B6E9"/>
              </w:rPr>
              <w:t>450,000</w:t>
            </w:r>
          </w:p>
        </w:tc>
        <w:tc>
          <w:tcPr>
            <w:tcW w:w="1520" w:type="dxa"/>
            <w:vAlign w:val="bottom"/>
            <w:shd w:val="clear" w:color="auto" w:fill="E9F8FD"/>
          </w:tcPr>
          <w:p>
            <w:pPr>
              <w:ind w:left="700"/>
              <w:spacing w:after="0"/>
              <w:rPr>
                <w:sz w:val="20"/>
                <w:szCs w:val="20"/>
                <w:color w:val="auto"/>
              </w:rPr>
            </w:pPr>
            <w:r>
              <w:rPr>
                <w:rFonts w:ascii="Arial" w:cs="Arial" w:eastAsia="Arial" w:hAnsi="Arial"/>
                <w:sz w:val="16"/>
                <w:szCs w:val="16"/>
                <w:color w:val="42B6E9"/>
              </w:rPr>
              <w:t>—</w:t>
            </w:r>
          </w:p>
        </w:tc>
        <w:tc>
          <w:tcPr>
            <w:tcW w:w="1740" w:type="dxa"/>
            <w:vAlign w:val="bottom"/>
            <w:shd w:val="clear" w:color="auto" w:fill="E9F8FD"/>
          </w:tcPr>
          <w:p>
            <w:pPr>
              <w:jc w:val="right"/>
              <w:ind w:right="382"/>
              <w:spacing w:after="0"/>
              <w:rPr>
                <w:sz w:val="20"/>
                <w:szCs w:val="20"/>
                <w:color w:val="auto"/>
              </w:rPr>
            </w:pPr>
            <w:r>
              <w:rPr>
                <w:rFonts w:ascii="Arial" w:cs="Arial" w:eastAsia="Arial" w:hAnsi="Arial"/>
                <w:sz w:val="16"/>
                <w:szCs w:val="16"/>
                <w:color w:val="42B6E9"/>
              </w:rPr>
              <w:t>—</w:t>
            </w:r>
          </w:p>
        </w:tc>
        <w:tc>
          <w:tcPr>
            <w:tcW w:w="1380" w:type="dxa"/>
            <w:vAlign w:val="bottom"/>
            <w:shd w:val="clear" w:color="auto" w:fill="E9F8FD"/>
          </w:tcPr>
          <w:p>
            <w:pPr>
              <w:jc w:val="right"/>
              <w:ind w:right="41"/>
              <w:spacing w:after="0"/>
              <w:rPr>
                <w:sz w:val="20"/>
                <w:szCs w:val="20"/>
                <w:color w:val="auto"/>
              </w:rPr>
            </w:pPr>
            <w:r>
              <w:rPr>
                <w:rFonts w:ascii="Arial" w:cs="Arial" w:eastAsia="Arial" w:hAnsi="Arial"/>
                <w:sz w:val="16"/>
                <w:szCs w:val="16"/>
                <w:color w:val="42B6E9"/>
              </w:rPr>
              <w:t>450,000</w:t>
            </w:r>
          </w:p>
        </w:tc>
      </w:tr>
      <w:tr>
        <w:trPr>
          <w:trHeight w:val="87"/>
        </w:trPr>
        <w:tc>
          <w:tcPr>
            <w:tcW w:w="2520" w:type="dxa"/>
            <w:vAlign w:val="bottom"/>
            <w:shd w:val="clear" w:color="auto" w:fill="E9F8FD"/>
          </w:tcPr>
          <w:p>
            <w:pPr>
              <w:spacing w:after="0"/>
              <w:rPr>
                <w:sz w:val="7"/>
                <w:szCs w:val="7"/>
                <w:color w:val="auto"/>
              </w:rPr>
            </w:pPr>
          </w:p>
        </w:tc>
        <w:tc>
          <w:tcPr>
            <w:tcW w:w="900" w:type="dxa"/>
            <w:vAlign w:val="bottom"/>
            <w:shd w:val="clear" w:color="auto" w:fill="E9F8FD"/>
          </w:tcPr>
          <w:p>
            <w:pPr>
              <w:spacing w:after="0"/>
              <w:rPr>
                <w:sz w:val="7"/>
                <w:szCs w:val="7"/>
                <w:color w:val="auto"/>
              </w:rPr>
            </w:pPr>
          </w:p>
        </w:tc>
        <w:tc>
          <w:tcPr>
            <w:tcW w:w="1500" w:type="dxa"/>
            <w:vAlign w:val="bottom"/>
            <w:shd w:val="clear" w:color="auto" w:fill="E9F8FD"/>
          </w:tcPr>
          <w:p>
            <w:pPr>
              <w:spacing w:after="0"/>
              <w:rPr>
                <w:sz w:val="7"/>
                <w:szCs w:val="7"/>
                <w:color w:val="auto"/>
              </w:rPr>
            </w:pPr>
          </w:p>
        </w:tc>
        <w:tc>
          <w:tcPr>
            <w:tcW w:w="1520" w:type="dxa"/>
            <w:vAlign w:val="bottom"/>
            <w:shd w:val="clear" w:color="auto" w:fill="E9F8FD"/>
          </w:tcPr>
          <w:p>
            <w:pPr>
              <w:spacing w:after="0"/>
              <w:rPr>
                <w:sz w:val="7"/>
                <w:szCs w:val="7"/>
                <w:color w:val="auto"/>
              </w:rPr>
            </w:pPr>
          </w:p>
        </w:tc>
        <w:tc>
          <w:tcPr>
            <w:tcW w:w="1740" w:type="dxa"/>
            <w:vAlign w:val="bottom"/>
            <w:shd w:val="clear" w:color="auto" w:fill="E9F8FD"/>
          </w:tcPr>
          <w:p>
            <w:pPr>
              <w:spacing w:after="0"/>
              <w:rPr>
                <w:sz w:val="7"/>
                <w:szCs w:val="7"/>
                <w:color w:val="auto"/>
              </w:rPr>
            </w:pPr>
          </w:p>
        </w:tc>
        <w:tc>
          <w:tcPr>
            <w:tcW w:w="1380" w:type="dxa"/>
            <w:vAlign w:val="bottom"/>
            <w:shd w:val="clear" w:color="auto" w:fill="E9F8FD"/>
          </w:tcPr>
          <w:p>
            <w:pPr>
              <w:spacing w:after="0"/>
              <w:rPr>
                <w:sz w:val="7"/>
                <w:szCs w:val="7"/>
                <w:color w:val="auto"/>
              </w:rPr>
            </w:pPr>
          </w:p>
        </w:tc>
      </w:tr>
      <w:tr>
        <w:trPr>
          <w:trHeight w:val="269"/>
        </w:trPr>
        <w:tc>
          <w:tcPr>
            <w:tcW w:w="2520" w:type="dxa"/>
            <w:vAlign w:val="bottom"/>
          </w:tcPr>
          <w:p>
            <w:pPr>
              <w:ind w:left="60"/>
              <w:spacing w:after="0"/>
              <w:rPr>
                <w:sz w:val="20"/>
                <w:szCs w:val="20"/>
                <w:color w:val="auto"/>
              </w:rPr>
            </w:pPr>
            <w:r>
              <w:rPr>
                <w:rFonts w:ascii="Arial" w:cs="Arial" w:eastAsia="Arial" w:hAnsi="Arial"/>
                <w:sz w:val="16"/>
                <w:szCs w:val="16"/>
                <w:b w:val="1"/>
                <w:bCs w:val="1"/>
                <w:color w:val="42B6E9"/>
              </w:rPr>
              <w:t>Rajat Bahri</w:t>
            </w:r>
          </w:p>
        </w:tc>
        <w:tc>
          <w:tcPr>
            <w:tcW w:w="9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11"/>
        </w:trPr>
        <w:tc>
          <w:tcPr>
            <w:tcW w:w="2520" w:type="dxa"/>
            <w:vAlign w:val="bottom"/>
          </w:tcPr>
          <w:p>
            <w:pPr>
              <w:ind w:left="60"/>
              <w:spacing w:after="0"/>
              <w:rPr>
                <w:sz w:val="20"/>
                <w:szCs w:val="20"/>
                <w:color w:val="auto"/>
              </w:rPr>
            </w:pPr>
            <w:r>
              <w:rPr>
                <w:rFonts w:ascii="Arial" w:cs="Arial" w:eastAsia="Arial" w:hAnsi="Arial"/>
                <w:sz w:val="16"/>
                <w:szCs w:val="16"/>
                <w:i w:val="1"/>
                <w:iCs w:val="1"/>
                <w:color w:val="42B6E9"/>
              </w:rPr>
              <w:t>Chief Financial Officer</w:t>
            </w:r>
          </w:p>
        </w:tc>
        <w:tc>
          <w:tcPr>
            <w:tcW w:w="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87"/>
        </w:trPr>
        <w:tc>
          <w:tcPr>
            <w:tcW w:w="2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380" w:type="dxa"/>
            <w:vAlign w:val="bottom"/>
          </w:tcPr>
          <w:p>
            <w:pPr>
              <w:spacing w:after="0"/>
              <w:rPr>
                <w:sz w:val="7"/>
                <w:szCs w:val="7"/>
                <w:color w:val="auto"/>
              </w:rPr>
            </w:pPr>
          </w:p>
        </w:tc>
      </w:tr>
      <w:tr>
        <w:trPr>
          <w:trHeight w:val="291"/>
        </w:trPr>
        <w:tc>
          <w:tcPr>
            <w:tcW w:w="2520" w:type="dxa"/>
            <w:vAlign w:val="bottom"/>
            <w:shd w:val="clear" w:color="auto" w:fill="E9F8FD"/>
          </w:tcPr>
          <w:p>
            <w:pPr>
              <w:spacing w:after="0"/>
              <w:rPr>
                <w:sz w:val="24"/>
                <w:szCs w:val="24"/>
                <w:color w:val="auto"/>
              </w:rPr>
            </w:pPr>
          </w:p>
        </w:tc>
        <w:tc>
          <w:tcPr>
            <w:tcW w:w="900" w:type="dxa"/>
            <w:vAlign w:val="bottom"/>
            <w:shd w:val="clear" w:color="auto" w:fill="E9F8FD"/>
          </w:tcPr>
          <w:p>
            <w:pPr>
              <w:jc w:val="center"/>
              <w:ind w:right="140"/>
              <w:spacing w:after="0"/>
              <w:rPr>
                <w:sz w:val="20"/>
                <w:szCs w:val="20"/>
                <w:color w:val="auto"/>
              </w:rPr>
            </w:pPr>
            <w:r>
              <w:rPr>
                <w:rFonts w:ascii="Arial" w:cs="Arial" w:eastAsia="Arial" w:hAnsi="Arial"/>
                <w:sz w:val="16"/>
                <w:szCs w:val="16"/>
                <w:color w:val="42B6E9"/>
              </w:rPr>
              <w:t>2020</w:t>
            </w:r>
          </w:p>
        </w:tc>
        <w:tc>
          <w:tcPr>
            <w:tcW w:w="1500" w:type="dxa"/>
            <w:vAlign w:val="bottom"/>
            <w:shd w:val="clear" w:color="auto" w:fill="E9F8FD"/>
          </w:tcPr>
          <w:p>
            <w:pPr>
              <w:jc w:val="right"/>
              <w:ind w:right="461"/>
              <w:spacing w:after="0"/>
              <w:rPr>
                <w:sz w:val="20"/>
                <w:szCs w:val="20"/>
                <w:color w:val="auto"/>
              </w:rPr>
            </w:pPr>
            <w:r>
              <w:rPr>
                <w:rFonts w:ascii="Arial" w:cs="Arial" w:eastAsia="Arial" w:hAnsi="Arial"/>
                <w:sz w:val="16"/>
                <w:szCs w:val="16"/>
                <w:color w:val="42B6E9"/>
              </w:rPr>
              <w:t>425,000</w:t>
            </w:r>
          </w:p>
        </w:tc>
        <w:tc>
          <w:tcPr>
            <w:tcW w:w="1520" w:type="dxa"/>
            <w:vAlign w:val="bottom"/>
            <w:shd w:val="clear" w:color="auto" w:fill="E9F8FD"/>
          </w:tcPr>
          <w:p>
            <w:pPr>
              <w:ind w:left="700"/>
              <w:spacing w:after="0"/>
              <w:rPr>
                <w:sz w:val="20"/>
                <w:szCs w:val="20"/>
                <w:color w:val="auto"/>
              </w:rPr>
            </w:pPr>
            <w:r>
              <w:rPr>
                <w:rFonts w:ascii="Arial" w:cs="Arial" w:eastAsia="Arial" w:hAnsi="Arial"/>
                <w:sz w:val="16"/>
                <w:szCs w:val="16"/>
                <w:color w:val="42B6E9"/>
              </w:rPr>
              <w:t>—</w:t>
            </w:r>
          </w:p>
        </w:tc>
        <w:tc>
          <w:tcPr>
            <w:tcW w:w="1740" w:type="dxa"/>
            <w:vAlign w:val="bottom"/>
            <w:shd w:val="clear" w:color="auto" w:fill="E9F8FD"/>
          </w:tcPr>
          <w:p>
            <w:pPr>
              <w:jc w:val="right"/>
              <w:ind w:right="402"/>
              <w:spacing w:after="0"/>
              <w:rPr>
                <w:sz w:val="20"/>
                <w:szCs w:val="20"/>
                <w:color w:val="auto"/>
              </w:rPr>
            </w:pPr>
            <w:r>
              <w:rPr>
                <w:rFonts w:ascii="Arial" w:cs="Arial" w:eastAsia="Arial" w:hAnsi="Arial"/>
                <w:sz w:val="16"/>
                <w:szCs w:val="16"/>
                <w:color w:val="42B6E9"/>
              </w:rPr>
              <w:t>4,092,250</w:t>
            </w:r>
          </w:p>
        </w:tc>
        <w:tc>
          <w:tcPr>
            <w:tcW w:w="1380" w:type="dxa"/>
            <w:vAlign w:val="bottom"/>
            <w:shd w:val="clear" w:color="auto" w:fill="E9F8FD"/>
          </w:tcPr>
          <w:p>
            <w:pPr>
              <w:jc w:val="right"/>
              <w:ind w:right="41"/>
              <w:spacing w:after="0"/>
              <w:rPr>
                <w:sz w:val="20"/>
                <w:szCs w:val="20"/>
                <w:color w:val="auto"/>
              </w:rPr>
            </w:pPr>
            <w:r>
              <w:rPr>
                <w:rFonts w:ascii="Arial" w:cs="Arial" w:eastAsia="Arial" w:hAnsi="Arial"/>
                <w:sz w:val="16"/>
                <w:szCs w:val="16"/>
                <w:color w:val="42B6E9"/>
              </w:rPr>
              <w:t>4,517,250</w:t>
            </w:r>
          </w:p>
        </w:tc>
      </w:tr>
      <w:tr>
        <w:trPr>
          <w:trHeight w:val="378"/>
        </w:trPr>
        <w:tc>
          <w:tcPr>
            <w:tcW w:w="2520" w:type="dxa"/>
            <w:vAlign w:val="bottom"/>
            <w:shd w:val="clear" w:color="auto" w:fill="E9F8FD"/>
          </w:tcPr>
          <w:p>
            <w:pPr>
              <w:spacing w:after="0"/>
              <w:rPr>
                <w:sz w:val="24"/>
                <w:szCs w:val="24"/>
                <w:color w:val="auto"/>
              </w:rPr>
            </w:pPr>
          </w:p>
        </w:tc>
        <w:tc>
          <w:tcPr>
            <w:tcW w:w="900" w:type="dxa"/>
            <w:vAlign w:val="bottom"/>
            <w:shd w:val="clear" w:color="auto" w:fill="E9F8FD"/>
          </w:tcPr>
          <w:p>
            <w:pPr>
              <w:jc w:val="center"/>
              <w:ind w:right="140"/>
              <w:spacing w:after="0"/>
              <w:rPr>
                <w:sz w:val="20"/>
                <w:szCs w:val="20"/>
                <w:color w:val="auto"/>
              </w:rPr>
            </w:pPr>
            <w:r>
              <w:rPr>
                <w:rFonts w:ascii="Arial" w:cs="Arial" w:eastAsia="Arial" w:hAnsi="Arial"/>
                <w:sz w:val="16"/>
                <w:szCs w:val="16"/>
                <w:color w:val="42B6E9"/>
              </w:rPr>
              <w:t>2019</w:t>
            </w:r>
          </w:p>
        </w:tc>
        <w:tc>
          <w:tcPr>
            <w:tcW w:w="1500" w:type="dxa"/>
            <w:vAlign w:val="bottom"/>
            <w:shd w:val="clear" w:color="auto" w:fill="E9F8FD"/>
          </w:tcPr>
          <w:p>
            <w:pPr>
              <w:jc w:val="right"/>
              <w:ind w:right="461"/>
              <w:spacing w:after="0"/>
              <w:rPr>
                <w:sz w:val="20"/>
                <w:szCs w:val="20"/>
                <w:color w:val="auto"/>
              </w:rPr>
            </w:pPr>
            <w:r>
              <w:rPr>
                <w:rFonts w:ascii="Arial" w:cs="Arial" w:eastAsia="Arial" w:hAnsi="Arial"/>
                <w:sz w:val="16"/>
                <w:szCs w:val="16"/>
                <w:color w:val="42B6E9"/>
              </w:rPr>
              <w:t>358,750</w:t>
            </w:r>
          </w:p>
        </w:tc>
        <w:tc>
          <w:tcPr>
            <w:tcW w:w="1520" w:type="dxa"/>
            <w:vAlign w:val="bottom"/>
            <w:shd w:val="clear" w:color="auto" w:fill="E9F8FD"/>
          </w:tcPr>
          <w:p>
            <w:pPr>
              <w:ind w:left="700"/>
              <w:spacing w:after="0"/>
              <w:rPr>
                <w:sz w:val="20"/>
                <w:szCs w:val="20"/>
                <w:color w:val="auto"/>
              </w:rPr>
            </w:pPr>
            <w:r>
              <w:rPr>
                <w:rFonts w:ascii="Arial" w:cs="Arial" w:eastAsia="Arial" w:hAnsi="Arial"/>
                <w:sz w:val="16"/>
                <w:szCs w:val="16"/>
                <w:color w:val="42B6E9"/>
              </w:rPr>
              <w:t>—</w:t>
            </w:r>
          </w:p>
        </w:tc>
        <w:tc>
          <w:tcPr>
            <w:tcW w:w="1740" w:type="dxa"/>
            <w:vAlign w:val="bottom"/>
            <w:shd w:val="clear" w:color="auto" w:fill="E9F8FD"/>
          </w:tcPr>
          <w:p>
            <w:pPr>
              <w:jc w:val="right"/>
              <w:ind w:right="382"/>
              <w:spacing w:after="0"/>
              <w:rPr>
                <w:sz w:val="20"/>
                <w:szCs w:val="20"/>
                <w:color w:val="auto"/>
              </w:rPr>
            </w:pPr>
            <w:r>
              <w:rPr>
                <w:rFonts w:ascii="Arial" w:cs="Arial" w:eastAsia="Arial" w:hAnsi="Arial"/>
                <w:sz w:val="16"/>
                <w:szCs w:val="16"/>
                <w:color w:val="42B6E9"/>
              </w:rPr>
              <w:t>18,589,761</w:t>
            </w:r>
          </w:p>
        </w:tc>
        <w:tc>
          <w:tcPr>
            <w:tcW w:w="1380" w:type="dxa"/>
            <w:vAlign w:val="bottom"/>
            <w:shd w:val="clear" w:color="auto" w:fill="E9F8FD"/>
          </w:tcPr>
          <w:p>
            <w:pPr>
              <w:jc w:val="center"/>
              <w:ind w:left="261"/>
              <w:spacing w:after="0"/>
              <w:rPr>
                <w:sz w:val="20"/>
                <w:szCs w:val="20"/>
                <w:color w:val="auto"/>
              </w:rPr>
            </w:pPr>
            <w:r>
              <w:rPr>
                <w:rFonts w:ascii="Arial" w:cs="Arial" w:eastAsia="Arial" w:hAnsi="Arial"/>
                <w:sz w:val="16"/>
                <w:szCs w:val="16"/>
                <w:color w:val="42B6E9"/>
                <w:w w:val="99"/>
              </w:rPr>
              <w:t>18,948,511</w:t>
            </w:r>
          </w:p>
        </w:tc>
      </w:tr>
      <w:tr>
        <w:trPr>
          <w:trHeight w:val="87"/>
        </w:trPr>
        <w:tc>
          <w:tcPr>
            <w:tcW w:w="2520" w:type="dxa"/>
            <w:vAlign w:val="bottom"/>
            <w:shd w:val="clear" w:color="auto" w:fill="E9F8FD"/>
          </w:tcPr>
          <w:p>
            <w:pPr>
              <w:spacing w:after="0"/>
              <w:rPr>
                <w:sz w:val="7"/>
                <w:szCs w:val="7"/>
                <w:color w:val="auto"/>
              </w:rPr>
            </w:pPr>
          </w:p>
        </w:tc>
        <w:tc>
          <w:tcPr>
            <w:tcW w:w="900" w:type="dxa"/>
            <w:vAlign w:val="bottom"/>
            <w:shd w:val="clear" w:color="auto" w:fill="E9F8FD"/>
          </w:tcPr>
          <w:p>
            <w:pPr>
              <w:spacing w:after="0"/>
              <w:rPr>
                <w:sz w:val="7"/>
                <w:szCs w:val="7"/>
                <w:color w:val="auto"/>
              </w:rPr>
            </w:pPr>
          </w:p>
        </w:tc>
        <w:tc>
          <w:tcPr>
            <w:tcW w:w="1500" w:type="dxa"/>
            <w:vAlign w:val="bottom"/>
            <w:shd w:val="clear" w:color="auto" w:fill="E9F8FD"/>
          </w:tcPr>
          <w:p>
            <w:pPr>
              <w:spacing w:after="0"/>
              <w:rPr>
                <w:sz w:val="7"/>
                <w:szCs w:val="7"/>
                <w:color w:val="auto"/>
              </w:rPr>
            </w:pPr>
          </w:p>
        </w:tc>
        <w:tc>
          <w:tcPr>
            <w:tcW w:w="1520" w:type="dxa"/>
            <w:vAlign w:val="bottom"/>
            <w:shd w:val="clear" w:color="auto" w:fill="E9F8FD"/>
          </w:tcPr>
          <w:p>
            <w:pPr>
              <w:spacing w:after="0"/>
              <w:rPr>
                <w:sz w:val="7"/>
                <w:szCs w:val="7"/>
                <w:color w:val="auto"/>
              </w:rPr>
            </w:pPr>
          </w:p>
        </w:tc>
        <w:tc>
          <w:tcPr>
            <w:tcW w:w="1740" w:type="dxa"/>
            <w:vAlign w:val="bottom"/>
            <w:shd w:val="clear" w:color="auto" w:fill="E9F8FD"/>
          </w:tcPr>
          <w:p>
            <w:pPr>
              <w:spacing w:after="0"/>
              <w:rPr>
                <w:sz w:val="7"/>
                <w:szCs w:val="7"/>
                <w:color w:val="auto"/>
              </w:rPr>
            </w:pPr>
          </w:p>
        </w:tc>
        <w:tc>
          <w:tcPr>
            <w:tcW w:w="1380" w:type="dxa"/>
            <w:vAlign w:val="bottom"/>
            <w:shd w:val="clear" w:color="auto" w:fill="E9F8FD"/>
          </w:tcPr>
          <w:p>
            <w:pPr>
              <w:spacing w:after="0"/>
              <w:rPr>
                <w:sz w:val="7"/>
                <w:szCs w:val="7"/>
                <w:color w:val="auto"/>
              </w:rPr>
            </w:pPr>
          </w:p>
        </w:tc>
      </w:tr>
      <w:tr>
        <w:trPr>
          <w:trHeight w:val="269"/>
        </w:trPr>
        <w:tc>
          <w:tcPr>
            <w:tcW w:w="2520" w:type="dxa"/>
            <w:vAlign w:val="bottom"/>
          </w:tcPr>
          <w:p>
            <w:pPr>
              <w:ind w:left="60"/>
              <w:spacing w:after="0"/>
              <w:rPr>
                <w:sz w:val="20"/>
                <w:szCs w:val="20"/>
                <w:color w:val="auto"/>
              </w:rPr>
            </w:pPr>
            <w:r>
              <w:rPr>
                <w:rFonts w:ascii="Arial" w:cs="Arial" w:eastAsia="Arial" w:hAnsi="Arial"/>
                <w:sz w:val="16"/>
                <w:szCs w:val="16"/>
                <w:b w:val="1"/>
                <w:bCs w:val="1"/>
                <w:color w:val="42B6E9"/>
              </w:rPr>
              <w:t>Devang Shah</w:t>
            </w:r>
          </w:p>
        </w:tc>
        <w:tc>
          <w:tcPr>
            <w:tcW w:w="9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11"/>
        </w:trPr>
        <w:tc>
          <w:tcPr>
            <w:tcW w:w="2520" w:type="dxa"/>
            <w:vAlign w:val="bottom"/>
          </w:tcPr>
          <w:p>
            <w:pPr>
              <w:ind w:left="60"/>
              <w:spacing w:after="0"/>
              <w:rPr>
                <w:sz w:val="20"/>
                <w:szCs w:val="20"/>
                <w:color w:val="auto"/>
              </w:rPr>
            </w:pPr>
            <w:r>
              <w:rPr>
                <w:rFonts w:ascii="Arial" w:cs="Arial" w:eastAsia="Arial" w:hAnsi="Arial"/>
                <w:sz w:val="16"/>
                <w:szCs w:val="16"/>
                <w:i w:val="1"/>
                <w:iCs w:val="1"/>
                <w:color w:val="42B6E9"/>
              </w:rPr>
              <w:t>General Counsel and Secretary</w:t>
            </w:r>
          </w:p>
        </w:tc>
        <w:tc>
          <w:tcPr>
            <w:tcW w:w="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87"/>
        </w:trPr>
        <w:tc>
          <w:tcPr>
            <w:tcW w:w="2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380" w:type="dxa"/>
            <w:vAlign w:val="bottom"/>
          </w:tcPr>
          <w:p>
            <w:pPr>
              <w:spacing w:after="0"/>
              <w:rPr>
                <w:sz w:val="7"/>
                <w:szCs w:val="7"/>
                <w:color w:val="auto"/>
              </w:rPr>
            </w:pPr>
          </w:p>
        </w:tc>
      </w:tr>
      <w:tr>
        <w:trPr>
          <w:trHeight w:val="291"/>
        </w:trPr>
        <w:tc>
          <w:tcPr>
            <w:tcW w:w="2520" w:type="dxa"/>
            <w:vAlign w:val="bottom"/>
            <w:shd w:val="clear" w:color="auto" w:fill="E9F8FD"/>
          </w:tcPr>
          <w:p>
            <w:pPr>
              <w:spacing w:after="0"/>
              <w:rPr>
                <w:sz w:val="24"/>
                <w:szCs w:val="24"/>
                <w:color w:val="auto"/>
              </w:rPr>
            </w:pPr>
          </w:p>
        </w:tc>
        <w:tc>
          <w:tcPr>
            <w:tcW w:w="900" w:type="dxa"/>
            <w:vAlign w:val="bottom"/>
            <w:shd w:val="clear" w:color="auto" w:fill="E9F8FD"/>
          </w:tcPr>
          <w:p>
            <w:pPr>
              <w:jc w:val="center"/>
              <w:ind w:right="140"/>
              <w:spacing w:after="0"/>
              <w:rPr>
                <w:sz w:val="20"/>
                <w:szCs w:val="20"/>
                <w:color w:val="auto"/>
              </w:rPr>
            </w:pPr>
            <w:r>
              <w:rPr>
                <w:rFonts w:ascii="Arial" w:cs="Arial" w:eastAsia="Arial" w:hAnsi="Arial"/>
                <w:sz w:val="16"/>
                <w:szCs w:val="16"/>
                <w:color w:val="42B6E9"/>
              </w:rPr>
              <w:t>2020</w:t>
            </w:r>
          </w:p>
        </w:tc>
        <w:tc>
          <w:tcPr>
            <w:tcW w:w="1500" w:type="dxa"/>
            <w:vAlign w:val="bottom"/>
            <w:shd w:val="clear" w:color="auto" w:fill="E9F8FD"/>
          </w:tcPr>
          <w:p>
            <w:pPr>
              <w:jc w:val="right"/>
              <w:ind w:right="461"/>
              <w:spacing w:after="0"/>
              <w:rPr>
                <w:sz w:val="20"/>
                <w:szCs w:val="20"/>
                <w:color w:val="auto"/>
              </w:rPr>
            </w:pPr>
            <w:r>
              <w:rPr>
                <w:rFonts w:ascii="Arial" w:cs="Arial" w:eastAsia="Arial" w:hAnsi="Arial"/>
                <w:sz w:val="16"/>
                <w:szCs w:val="16"/>
                <w:color w:val="42B6E9"/>
              </w:rPr>
              <w:t>376,667</w:t>
            </w:r>
          </w:p>
        </w:tc>
        <w:tc>
          <w:tcPr>
            <w:tcW w:w="1520" w:type="dxa"/>
            <w:vAlign w:val="bottom"/>
            <w:shd w:val="clear" w:color="auto" w:fill="E9F8FD"/>
          </w:tcPr>
          <w:p>
            <w:pPr>
              <w:ind w:left="700"/>
              <w:spacing w:after="0"/>
              <w:rPr>
                <w:sz w:val="20"/>
                <w:szCs w:val="20"/>
                <w:color w:val="auto"/>
              </w:rPr>
            </w:pPr>
            <w:r>
              <w:rPr>
                <w:rFonts w:ascii="Arial" w:cs="Arial" w:eastAsia="Arial" w:hAnsi="Arial"/>
                <w:sz w:val="16"/>
                <w:szCs w:val="16"/>
                <w:color w:val="42B6E9"/>
              </w:rPr>
              <w:t>—</w:t>
            </w:r>
          </w:p>
        </w:tc>
        <w:tc>
          <w:tcPr>
            <w:tcW w:w="1740" w:type="dxa"/>
            <w:vAlign w:val="bottom"/>
            <w:shd w:val="clear" w:color="auto" w:fill="E9F8FD"/>
          </w:tcPr>
          <w:p>
            <w:pPr>
              <w:jc w:val="right"/>
              <w:ind w:right="402"/>
              <w:spacing w:after="0"/>
              <w:rPr>
                <w:sz w:val="20"/>
                <w:szCs w:val="20"/>
                <w:color w:val="auto"/>
              </w:rPr>
            </w:pPr>
            <w:r>
              <w:rPr>
                <w:rFonts w:ascii="Arial" w:cs="Arial" w:eastAsia="Arial" w:hAnsi="Arial"/>
                <w:sz w:val="16"/>
                <w:szCs w:val="16"/>
                <w:color w:val="42B6E9"/>
              </w:rPr>
              <w:t>4,092,250</w:t>
            </w:r>
          </w:p>
        </w:tc>
        <w:tc>
          <w:tcPr>
            <w:tcW w:w="1380" w:type="dxa"/>
            <w:vAlign w:val="bottom"/>
            <w:shd w:val="clear" w:color="auto" w:fill="E9F8FD"/>
          </w:tcPr>
          <w:p>
            <w:pPr>
              <w:jc w:val="right"/>
              <w:ind w:right="41"/>
              <w:spacing w:after="0"/>
              <w:rPr>
                <w:sz w:val="20"/>
                <w:szCs w:val="20"/>
                <w:color w:val="auto"/>
              </w:rPr>
            </w:pPr>
            <w:r>
              <w:rPr>
                <w:rFonts w:ascii="Arial" w:cs="Arial" w:eastAsia="Arial" w:hAnsi="Arial"/>
                <w:sz w:val="16"/>
                <w:szCs w:val="16"/>
                <w:color w:val="42B6E9"/>
              </w:rPr>
              <w:t>4,468,917</w:t>
            </w:r>
          </w:p>
        </w:tc>
      </w:tr>
      <w:tr>
        <w:trPr>
          <w:trHeight w:val="378"/>
        </w:trPr>
        <w:tc>
          <w:tcPr>
            <w:tcW w:w="2520" w:type="dxa"/>
            <w:vAlign w:val="bottom"/>
            <w:shd w:val="clear" w:color="auto" w:fill="E9F8FD"/>
          </w:tcPr>
          <w:p>
            <w:pPr>
              <w:spacing w:after="0"/>
              <w:rPr>
                <w:sz w:val="24"/>
                <w:szCs w:val="24"/>
                <w:color w:val="auto"/>
              </w:rPr>
            </w:pPr>
          </w:p>
        </w:tc>
        <w:tc>
          <w:tcPr>
            <w:tcW w:w="900" w:type="dxa"/>
            <w:vAlign w:val="bottom"/>
            <w:shd w:val="clear" w:color="auto" w:fill="E9F8FD"/>
          </w:tcPr>
          <w:p>
            <w:pPr>
              <w:jc w:val="center"/>
              <w:ind w:right="140"/>
              <w:spacing w:after="0"/>
              <w:rPr>
                <w:sz w:val="20"/>
                <w:szCs w:val="20"/>
                <w:color w:val="auto"/>
              </w:rPr>
            </w:pPr>
            <w:r>
              <w:rPr>
                <w:rFonts w:ascii="Arial" w:cs="Arial" w:eastAsia="Arial" w:hAnsi="Arial"/>
                <w:sz w:val="16"/>
                <w:szCs w:val="16"/>
                <w:color w:val="42B6E9"/>
              </w:rPr>
              <w:t>2019</w:t>
            </w:r>
          </w:p>
        </w:tc>
        <w:tc>
          <w:tcPr>
            <w:tcW w:w="1500" w:type="dxa"/>
            <w:vAlign w:val="bottom"/>
            <w:shd w:val="clear" w:color="auto" w:fill="E9F8FD"/>
          </w:tcPr>
          <w:p>
            <w:pPr>
              <w:jc w:val="right"/>
              <w:ind w:right="461"/>
              <w:spacing w:after="0"/>
              <w:rPr>
                <w:sz w:val="20"/>
                <w:szCs w:val="20"/>
                <w:color w:val="auto"/>
              </w:rPr>
            </w:pPr>
            <w:r>
              <w:rPr>
                <w:rFonts w:ascii="Arial" w:cs="Arial" w:eastAsia="Arial" w:hAnsi="Arial"/>
                <w:sz w:val="16"/>
                <w:szCs w:val="16"/>
                <w:color w:val="42B6E9"/>
              </w:rPr>
              <w:t>326,000</w:t>
            </w:r>
          </w:p>
        </w:tc>
        <w:tc>
          <w:tcPr>
            <w:tcW w:w="1520" w:type="dxa"/>
            <w:vAlign w:val="bottom"/>
            <w:shd w:val="clear" w:color="auto" w:fill="E9F8FD"/>
          </w:tcPr>
          <w:p>
            <w:pPr>
              <w:ind w:left="700"/>
              <w:spacing w:after="0"/>
              <w:rPr>
                <w:sz w:val="20"/>
                <w:szCs w:val="20"/>
                <w:color w:val="auto"/>
              </w:rPr>
            </w:pPr>
            <w:r>
              <w:rPr>
                <w:rFonts w:ascii="Arial" w:cs="Arial" w:eastAsia="Arial" w:hAnsi="Arial"/>
                <w:sz w:val="16"/>
                <w:szCs w:val="16"/>
                <w:color w:val="42B6E9"/>
              </w:rPr>
              <w:t>—</w:t>
            </w:r>
          </w:p>
        </w:tc>
        <w:tc>
          <w:tcPr>
            <w:tcW w:w="1740" w:type="dxa"/>
            <w:vAlign w:val="bottom"/>
            <w:shd w:val="clear" w:color="auto" w:fill="E9F8FD"/>
          </w:tcPr>
          <w:p>
            <w:pPr>
              <w:jc w:val="right"/>
              <w:ind w:right="402"/>
              <w:spacing w:after="0"/>
              <w:rPr>
                <w:sz w:val="20"/>
                <w:szCs w:val="20"/>
                <w:color w:val="auto"/>
              </w:rPr>
            </w:pPr>
            <w:r>
              <w:rPr>
                <w:rFonts w:ascii="Arial" w:cs="Arial" w:eastAsia="Arial" w:hAnsi="Arial"/>
                <w:sz w:val="16"/>
                <w:szCs w:val="16"/>
                <w:color w:val="42B6E9"/>
              </w:rPr>
              <w:t>2,738,890</w:t>
            </w:r>
          </w:p>
        </w:tc>
        <w:tc>
          <w:tcPr>
            <w:tcW w:w="1380" w:type="dxa"/>
            <w:vAlign w:val="bottom"/>
            <w:shd w:val="clear" w:color="auto" w:fill="E9F8FD"/>
          </w:tcPr>
          <w:p>
            <w:pPr>
              <w:jc w:val="right"/>
              <w:ind w:right="41"/>
              <w:spacing w:after="0"/>
              <w:rPr>
                <w:sz w:val="20"/>
                <w:szCs w:val="20"/>
                <w:color w:val="auto"/>
              </w:rPr>
            </w:pPr>
            <w:r>
              <w:rPr>
                <w:rFonts w:ascii="Arial" w:cs="Arial" w:eastAsia="Arial" w:hAnsi="Arial"/>
                <w:sz w:val="16"/>
                <w:szCs w:val="16"/>
                <w:color w:val="42B6E9"/>
              </w:rPr>
              <w:t>3,064,890</w:t>
            </w:r>
          </w:p>
        </w:tc>
      </w:tr>
      <w:tr>
        <w:trPr>
          <w:trHeight w:val="87"/>
        </w:trPr>
        <w:tc>
          <w:tcPr>
            <w:tcW w:w="2520" w:type="dxa"/>
            <w:vAlign w:val="bottom"/>
            <w:shd w:val="clear" w:color="auto" w:fill="E9F8FD"/>
          </w:tcPr>
          <w:p>
            <w:pPr>
              <w:spacing w:after="0"/>
              <w:rPr>
                <w:sz w:val="7"/>
                <w:szCs w:val="7"/>
                <w:color w:val="auto"/>
              </w:rPr>
            </w:pPr>
          </w:p>
        </w:tc>
        <w:tc>
          <w:tcPr>
            <w:tcW w:w="900" w:type="dxa"/>
            <w:vAlign w:val="bottom"/>
            <w:shd w:val="clear" w:color="auto" w:fill="E9F8FD"/>
          </w:tcPr>
          <w:p>
            <w:pPr>
              <w:spacing w:after="0"/>
              <w:rPr>
                <w:sz w:val="7"/>
                <w:szCs w:val="7"/>
                <w:color w:val="auto"/>
              </w:rPr>
            </w:pPr>
          </w:p>
        </w:tc>
        <w:tc>
          <w:tcPr>
            <w:tcW w:w="1500" w:type="dxa"/>
            <w:vAlign w:val="bottom"/>
            <w:shd w:val="clear" w:color="auto" w:fill="E9F8FD"/>
          </w:tcPr>
          <w:p>
            <w:pPr>
              <w:spacing w:after="0"/>
              <w:rPr>
                <w:sz w:val="7"/>
                <w:szCs w:val="7"/>
                <w:color w:val="auto"/>
              </w:rPr>
            </w:pPr>
          </w:p>
        </w:tc>
        <w:tc>
          <w:tcPr>
            <w:tcW w:w="1520" w:type="dxa"/>
            <w:vAlign w:val="bottom"/>
            <w:shd w:val="clear" w:color="auto" w:fill="E9F8FD"/>
          </w:tcPr>
          <w:p>
            <w:pPr>
              <w:spacing w:after="0"/>
              <w:rPr>
                <w:sz w:val="7"/>
                <w:szCs w:val="7"/>
                <w:color w:val="auto"/>
              </w:rPr>
            </w:pPr>
          </w:p>
        </w:tc>
        <w:tc>
          <w:tcPr>
            <w:tcW w:w="1740" w:type="dxa"/>
            <w:vAlign w:val="bottom"/>
            <w:shd w:val="clear" w:color="auto" w:fill="E9F8FD"/>
          </w:tcPr>
          <w:p>
            <w:pPr>
              <w:spacing w:after="0"/>
              <w:rPr>
                <w:sz w:val="7"/>
                <w:szCs w:val="7"/>
                <w:color w:val="auto"/>
              </w:rPr>
            </w:pPr>
          </w:p>
        </w:tc>
        <w:tc>
          <w:tcPr>
            <w:tcW w:w="1380" w:type="dxa"/>
            <w:vAlign w:val="bottom"/>
            <w:shd w:val="clear" w:color="auto" w:fill="E9F8FD"/>
          </w:tcPr>
          <w:p>
            <w:pPr>
              <w:spacing w:after="0"/>
              <w:rPr>
                <w:sz w:val="7"/>
                <w:szCs w:val="7"/>
                <w:color w:val="auto"/>
              </w:rPr>
            </w:pPr>
          </w:p>
        </w:tc>
      </w:tr>
      <w:tr>
        <w:trPr>
          <w:trHeight w:val="269"/>
        </w:trPr>
        <w:tc>
          <w:tcPr>
            <w:tcW w:w="2520" w:type="dxa"/>
            <w:vAlign w:val="bottom"/>
          </w:tcPr>
          <w:p>
            <w:pPr>
              <w:ind w:left="60"/>
              <w:spacing w:after="0"/>
              <w:rPr>
                <w:sz w:val="20"/>
                <w:szCs w:val="20"/>
                <w:color w:val="auto"/>
              </w:rPr>
            </w:pPr>
            <w:r>
              <w:rPr>
                <w:rFonts w:ascii="Arial" w:cs="Arial" w:eastAsia="Arial" w:hAnsi="Arial"/>
                <w:sz w:val="16"/>
                <w:szCs w:val="16"/>
                <w:b w:val="1"/>
                <w:bCs w:val="1"/>
                <w:color w:val="42B6E9"/>
              </w:rPr>
              <w:t>Thomas Chuang</w:t>
            </w:r>
          </w:p>
        </w:tc>
        <w:tc>
          <w:tcPr>
            <w:tcW w:w="9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11"/>
        </w:trPr>
        <w:tc>
          <w:tcPr>
            <w:tcW w:w="2520" w:type="dxa"/>
            <w:vAlign w:val="bottom"/>
          </w:tcPr>
          <w:p>
            <w:pPr>
              <w:ind w:left="60"/>
              <w:spacing w:after="0"/>
              <w:rPr>
                <w:sz w:val="20"/>
                <w:szCs w:val="20"/>
                <w:color w:val="auto"/>
              </w:rPr>
            </w:pPr>
            <w:r>
              <w:rPr>
                <w:rFonts w:ascii="Arial" w:cs="Arial" w:eastAsia="Arial" w:hAnsi="Arial"/>
                <w:sz w:val="16"/>
                <w:szCs w:val="16"/>
                <w:i w:val="1"/>
                <w:iCs w:val="1"/>
                <w:color w:val="42B6E9"/>
              </w:rPr>
              <w:t>Vice President of Operations</w:t>
            </w:r>
          </w:p>
        </w:tc>
        <w:tc>
          <w:tcPr>
            <w:tcW w:w="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87"/>
        </w:trPr>
        <w:tc>
          <w:tcPr>
            <w:tcW w:w="2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380" w:type="dxa"/>
            <w:vAlign w:val="bottom"/>
          </w:tcPr>
          <w:p>
            <w:pPr>
              <w:spacing w:after="0"/>
              <w:rPr>
                <w:sz w:val="7"/>
                <w:szCs w:val="7"/>
                <w:color w:val="auto"/>
              </w:rPr>
            </w:pPr>
          </w:p>
        </w:tc>
      </w:tr>
      <w:tr>
        <w:trPr>
          <w:trHeight w:val="291"/>
        </w:trPr>
        <w:tc>
          <w:tcPr>
            <w:tcW w:w="2520" w:type="dxa"/>
            <w:vAlign w:val="bottom"/>
            <w:shd w:val="clear" w:color="auto" w:fill="E9F8FD"/>
          </w:tcPr>
          <w:p>
            <w:pPr>
              <w:spacing w:after="0"/>
              <w:rPr>
                <w:sz w:val="24"/>
                <w:szCs w:val="24"/>
                <w:color w:val="auto"/>
              </w:rPr>
            </w:pPr>
          </w:p>
        </w:tc>
        <w:tc>
          <w:tcPr>
            <w:tcW w:w="900" w:type="dxa"/>
            <w:vAlign w:val="bottom"/>
            <w:shd w:val="clear" w:color="auto" w:fill="E9F8FD"/>
          </w:tcPr>
          <w:p>
            <w:pPr>
              <w:jc w:val="center"/>
              <w:ind w:right="140"/>
              <w:spacing w:after="0"/>
              <w:rPr>
                <w:sz w:val="20"/>
                <w:szCs w:val="20"/>
                <w:color w:val="auto"/>
              </w:rPr>
            </w:pPr>
            <w:r>
              <w:rPr>
                <w:rFonts w:ascii="Arial" w:cs="Arial" w:eastAsia="Arial" w:hAnsi="Arial"/>
                <w:sz w:val="16"/>
                <w:szCs w:val="16"/>
                <w:color w:val="42B6E9"/>
              </w:rPr>
              <w:t>2020</w:t>
            </w:r>
          </w:p>
        </w:tc>
        <w:tc>
          <w:tcPr>
            <w:tcW w:w="1500" w:type="dxa"/>
            <w:vAlign w:val="bottom"/>
            <w:shd w:val="clear" w:color="auto" w:fill="E9F8FD"/>
          </w:tcPr>
          <w:p>
            <w:pPr>
              <w:jc w:val="right"/>
              <w:ind w:right="461"/>
              <w:spacing w:after="0"/>
              <w:rPr>
                <w:sz w:val="20"/>
                <w:szCs w:val="20"/>
                <w:color w:val="auto"/>
              </w:rPr>
            </w:pPr>
            <w:r>
              <w:rPr>
                <w:rFonts w:ascii="Arial" w:cs="Arial" w:eastAsia="Arial" w:hAnsi="Arial"/>
                <w:sz w:val="16"/>
                <w:szCs w:val="16"/>
                <w:color w:val="42B6E9"/>
              </w:rPr>
              <w:t>295,000</w:t>
            </w:r>
          </w:p>
        </w:tc>
        <w:tc>
          <w:tcPr>
            <w:tcW w:w="1520" w:type="dxa"/>
            <w:vAlign w:val="bottom"/>
            <w:shd w:val="clear" w:color="auto" w:fill="E9F8FD"/>
          </w:tcPr>
          <w:p>
            <w:pPr>
              <w:ind w:left="700"/>
              <w:spacing w:after="0"/>
              <w:rPr>
                <w:sz w:val="20"/>
                <w:szCs w:val="20"/>
                <w:color w:val="auto"/>
              </w:rPr>
            </w:pPr>
            <w:r>
              <w:rPr>
                <w:rFonts w:ascii="Arial" w:cs="Arial" w:eastAsia="Arial" w:hAnsi="Arial"/>
                <w:sz w:val="16"/>
                <w:szCs w:val="16"/>
                <w:color w:val="42B6E9"/>
              </w:rPr>
              <w:t>—</w:t>
            </w:r>
          </w:p>
        </w:tc>
        <w:tc>
          <w:tcPr>
            <w:tcW w:w="1740" w:type="dxa"/>
            <w:vAlign w:val="bottom"/>
            <w:shd w:val="clear" w:color="auto" w:fill="E9F8FD"/>
          </w:tcPr>
          <w:p>
            <w:pPr>
              <w:jc w:val="right"/>
              <w:ind w:right="402"/>
              <w:spacing w:after="0"/>
              <w:rPr>
                <w:sz w:val="20"/>
                <w:szCs w:val="20"/>
                <w:color w:val="auto"/>
              </w:rPr>
            </w:pPr>
            <w:r>
              <w:rPr>
                <w:rFonts w:ascii="Arial" w:cs="Arial" w:eastAsia="Arial" w:hAnsi="Arial"/>
                <w:sz w:val="16"/>
                <w:szCs w:val="16"/>
                <w:color w:val="42B6E9"/>
              </w:rPr>
              <w:t>1,636,900</w:t>
            </w:r>
          </w:p>
        </w:tc>
        <w:tc>
          <w:tcPr>
            <w:tcW w:w="1380" w:type="dxa"/>
            <w:vAlign w:val="bottom"/>
            <w:shd w:val="clear" w:color="auto" w:fill="E9F8FD"/>
          </w:tcPr>
          <w:p>
            <w:pPr>
              <w:jc w:val="right"/>
              <w:ind w:right="41"/>
              <w:spacing w:after="0"/>
              <w:rPr>
                <w:sz w:val="20"/>
                <w:szCs w:val="20"/>
                <w:color w:val="auto"/>
              </w:rPr>
            </w:pPr>
            <w:r>
              <w:rPr>
                <w:rFonts w:ascii="Arial" w:cs="Arial" w:eastAsia="Arial" w:hAnsi="Arial"/>
                <w:sz w:val="16"/>
                <w:szCs w:val="16"/>
                <w:color w:val="42B6E9"/>
              </w:rPr>
              <w:t>1,931,900</w:t>
            </w:r>
          </w:p>
        </w:tc>
      </w:tr>
      <w:tr>
        <w:trPr>
          <w:trHeight w:val="378"/>
        </w:trPr>
        <w:tc>
          <w:tcPr>
            <w:tcW w:w="2520" w:type="dxa"/>
            <w:vAlign w:val="bottom"/>
            <w:shd w:val="clear" w:color="auto" w:fill="E9F8FD"/>
          </w:tcPr>
          <w:p>
            <w:pPr>
              <w:spacing w:after="0"/>
              <w:rPr>
                <w:sz w:val="24"/>
                <w:szCs w:val="24"/>
                <w:color w:val="auto"/>
              </w:rPr>
            </w:pPr>
          </w:p>
        </w:tc>
        <w:tc>
          <w:tcPr>
            <w:tcW w:w="900" w:type="dxa"/>
            <w:vAlign w:val="bottom"/>
            <w:shd w:val="clear" w:color="auto" w:fill="E9F8FD"/>
          </w:tcPr>
          <w:p>
            <w:pPr>
              <w:jc w:val="center"/>
              <w:ind w:right="140"/>
              <w:spacing w:after="0"/>
              <w:rPr>
                <w:sz w:val="20"/>
                <w:szCs w:val="20"/>
                <w:color w:val="auto"/>
              </w:rPr>
            </w:pPr>
            <w:r>
              <w:rPr>
                <w:rFonts w:ascii="Arial" w:cs="Arial" w:eastAsia="Arial" w:hAnsi="Arial"/>
                <w:sz w:val="16"/>
                <w:szCs w:val="16"/>
                <w:color w:val="42B6E9"/>
              </w:rPr>
              <w:t>2019</w:t>
            </w:r>
          </w:p>
        </w:tc>
        <w:tc>
          <w:tcPr>
            <w:tcW w:w="1500" w:type="dxa"/>
            <w:vAlign w:val="bottom"/>
            <w:shd w:val="clear" w:color="auto" w:fill="E9F8FD"/>
          </w:tcPr>
          <w:p>
            <w:pPr>
              <w:jc w:val="right"/>
              <w:ind w:right="461"/>
              <w:spacing w:after="0"/>
              <w:rPr>
                <w:sz w:val="20"/>
                <w:szCs w:val="20"/>
                <w:color w:val="auto"/>
              </w:rPr>
            </w:pPr>
            <w:r>
              <w:rPr>
                <w:rFonts w:ascii="Arial" w:cs="Arial" w:eastAsia="Arial" w:hAnsi="Arial"/>
                <w:sz w:val="16"/>
                <w:szCs w:val="16"/>
                <w:color w:val="42B6E9"/>
              </w:rPr>
              <w:t>257,756</w:t>
            </w:r>
          </w:p>
        </w:tc>
        <w:tc>
          <w:tcPr>
            <w:tcW w:w="1520" w:type="dxa"/>
            <w:vAlign w:val="bottom"/>
            <w:shd w:val="clear" w:color="auto" w:fill="E9F8FD"/>
          </w:tcPr>
          <w:p>
            <w:pPr>
              <w:ind w:left="700"/>
              <w:spacing w:after="0"/>
              <w:rPr>
                <w:sz w:val="20"/>
                <w:szCs w:val="20"/>
                <w:color w:val="auto"/>
              </w:rPr>
            </w:pPr>
            <w:r>
              <w:rPr>
                <w:rFonts w:ascii="Arial" w:cs="Arial" w:eastAsia="Arial" w:hAnsi="Arial"/>
                <w:sz w:val="16"/>
                <w:szCs w:val="16"/>
                <w:color w:val="42B6E9"/>
              </w:rPr>
              <w:t>—</w:t>
            </w:r>
          </w:p>
        </w:tc>
        <w:tc>
          <w:tcPr>
            <w:tcW w:w="1740" w:type="dxa"/>
            <w:vAlign w:val="bottom"/>
            <w:shd w:val="clear" w:color="auto" w:fill="E9F8FD"/>
          </w:tcPr>
          <w:p>
            <w:pPr>
              <w:jc w:val="right"/>
              <w:ind w:right="402"/>
              <w:spacing w:after="0"/>
              <w:rPr>
                <w:sz w:val="20"/>
                <w:szCs w:val="20"/>
                <w:color w:val="auto"/>
              </w:rPr>
            </w:pPr>
            <w:r>
              <w:rPr>
                <w:rFonts w:ascii="Arial" w:cs="Arial" w:eastAsia="Arial" w:hAnsi="Arial"/>
                <w:sz w:val="16"/>
                <w:szCs w:val="16"/>
                <w:color w:val="42B6E9"/>
              </w:rPr>
              <w:t>1,814,363</w:t>
            </w:r>
          </w:p>
        </w:tc>
        <w:tc>
          <w:tcPr>
            <w:tcW w:w="1380" w:type="dxa"/>
            <w:vAlign w:val="bottom"/>
            <w:shd w:val="clear" w:color="auto" w:fill="E9F8FD"/>
          </w:tcPr>
          <w:p>
            <w:pPr>
              <w:jc w:val="right"/>
              <w:ind w:right="41"/>
              <w:spacing w:after="0"/>
              <w:rPr>
                <w:sz w:val="20"/>
                <w:szCs w:val="20"/>
                <w:color w:val="auto"/>
              </w:rPr>
            </w:pPr>
            <w:r>
              <w:rPr>
                <w:rFonts w:ascii="Arial" w:cs="Arial" w:eastAsia="Arial" w:hAnsi="Arial"/>
                <w:sz w:val="16"/>
                <w:szCs w:val="16"/>
                <w:color w:val="42B6E9"/>
              </w:rPr>
              <w:t>2,072,119</w:t>
            </w:r>
          </w:p>
        </w:tc>
      </w:tr>
      <w:tr>
        <w:trPr>
          <w:trHeight w:val="87"/>
        </w:trPr>
        <w:tc>
          <w:tcPr>
            <w:tcW w:w="2520" w:type="dxa"/>
            <w:vAlign w:val="bottom"/>
            <w:shd w:val="clear" w:color="auto" w:fill="E9F8FD"/>
          </w:tcPr>
          <w:p>
            <w:pPr>
              <w:spacing w:after="0"/>
              <w:rPr>
                <w:sz w:val="7"/>
                <w:szCs w:val="7"/>
                <w:color w:val="auto"/>
              </w:rPr>
            </w:pPr>
          </w:p>
        </w:tc>
        <w:tc>
          <w:tcPr>
            <w:tcW w:w="900" w:type="dxa"/>
            <w:vAlign w:val="bottom"/>
            <w:shd w:val="clear" w:color="auto" w:fill="E9F8FD"/>
          </w:tcPr>
          <w:p>
            <w:pPr>
              <w:spacing w:after="0"/>
              <w:rPr>
                <w:sz w:val="7"/>
                <w:szCs w:val="7"/>
                <w:color w:val="auto"/>
              </w:rPr>
            </w:pPr>
          </w:p>
        </w:tc>
        <w:tc>
          <w:tcPr>
            <w:tcW w:w="1500" w:type="dxa"/>
            <w:vAlign w:val="bottom"/>
            <w:shd w:val="clear" w:color="auto" w:fill="E9F8FD"/>
          </w:tcPr>
          <w:p>
            <w:pPr>
              <w:spacing w:after="0"/>
              <w:rPr>
                <w:sz w:val="7"/>
                <w:szCs w:val="7"/>
                <w:color w:val="auto"/>
              </w:rPr>
            </w:pPr>
          </w:p>
        </w:tc>
        <w:tc>
          <w:tcPr>
            <w:tcW w:w="1520" w:type="dxa"/>
            <w:vAlign w:val="bottom"/>
            <w:shd w:val="clear" w:color="auto" w:fill="E9F8FD"/>
          </w:tcPr>
          <w:p>
            <w:pPr>
              <w:spacing w:after="0"/>
              <w:rPr>
                <w:sz w:val="7"/>
                <w:szCs w:val="7"/>
                <w:color w:val="auto"/>
              </w:rPr>
            </w:pPr>
          </w:p>
        </w:tc>
        <w:tc>
          <w:tcPr>
            <w:tcW w:w="1740" w:type="dxa"/>
            <w:vAlign w:val="bottom"/>
            <w:shd w:val="clear" w:color="auto" w:fill="E9F8FD"/>
          </w:tcPr>
          <w:p>
            <w:pPr>
              <w:spacing w:after="0"/>
              <w:rPr>
                <w:sz w:val="7"/>
                <w:szCs w:val="7"/>
                <w:color w:val="auto"/>
              </w:rPr>
            </w:pPr>
          </w:p>
        </w:tc>
        <w:tc>
          <w:tcPr>
            <w:tcW w:w="1380" w:type="dxa"/>
            <w:vAlign w:val="bottom"/>
            <w:shd w:val="clear" w:color="auto" w:fill="E9F8FD"/>
          </w:tcPr>
          <w:p>
            <w:pPr>
              <w:spacing w:after="0"/>
              <w:rPr>
                <w:sz w:val="7"/>
                <w:szCs w:val="7"/>
                <w:color w:val="auto"/>
              </w:rPr>
            </w:pPr>
          </w:p>
        </w:tc>
      </w:tr>
      <w:tr>
        <w:trPr>
          <w:trHeight w:val="269"/>
        </w:trPr>
        <w:tc>
          <w:tcPr>
            <w:tcW w:w="2520" w:type="dxa"/>
            <w:vAlign w:val="bottom"/>
          </w:tcPr>
          <w:p>
            <w:pPr>
              <w:ind w:left="60"/>
              <w:spacing w:after="0"/>
              <w:rPr>
                <w:sz w:val="20"/>
                <w:szCs w:val="20"/>
                <w:color w:val="auto"/>
              </w:rPr>
            </w:pPr>
            <w:r>
              <w:rPr>
                <w:rFonts w:ascii="Arial" w:cs="Arial" w:eastAsia="Arial" w:hAnsi="Arial"/>
                <w:sz w:val="16"/>
                <w:szCs w:val="16"/>
                <w:b w:val="1"/>
                <w:bCs w:val="1"/>
                <w:color w:val="42B6E9"/>
              </w:rPr>
              <w:t>Pai Liu</w:t>
            </w:r>
          </w:p>
        </w:tc>
        <w:tc>
          <w:tcPr>
            <w:tcW w:w="9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11"/>
        </w:trPr>
        <w:tc>
          <w:tcPr>
            <w:tcW w:w="2520" w:type="dxa"/>
            <w:vAlign w:val="bottom"/>
          </w:tcPr>
          <w:p>
            <w:pPr>
              <w:ind w:left="60"/>
              <w:spacing w:after="0"/>
              <w:rPr>
                <w:sz w:val="20"/>
                <w:szCs w:val="20"/>
                <w:color w:val="auto"/>
              </w:rPr>
            </w:pPr>
            <w:r>
              <w:rPr>
                <w:rFonts w:ascii="Arial" w:cs="Arial" w:eastAsia="Arial" w:hAnsi="Arial"/>
                <w:sz w:val="16"/>
                <w:szCs w:val="16"/>
                <w:i w:val="1"/>
                <w:iCs w:val="1"/>
                <w:color w:val="42B6E9"/>
              </w:rPr>
              <w:t>Vice President of Data Science</w:t>
            </w:r>
          </w:p>
        </w:tc>
        <w:tc>
          <w:tcPr>
            <w:tcW w:w="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87"/>
        </w:trPr>
        <w:tc>
          <w:tcPr>
            <w:tcW w:w="2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380" w:type="dxa"/>
            <w:vAlign w:val="bottom"/>
          </w:tcPr>
          <w:p>
            <w:pPr>
              <w:spacing w:after="0"/>
              <w:rPr>
                <w:sz w:val="7"/>
                <w:szCs w:val="7"/>
                <w:color w:val="auto"/>
              </w:rPr>
            </w:pPr>
          </w:p>
        </w:tc>
      </w:tr>
      <w:tr>
        <w:trPr>
          <w:trHeight w:val="291"/>
        </w:trPr>
        <w:tc>
          <w:tcPr>
            <w:tcW w:w="2520" w:type="dxa"/>
            <w:vAlign w:val="bottom"/>
            <w:shd w:val="clear" w:color="auto" w:fill="E9F8FD"/>
          </w:tcPr>
          <w:p>
            <w:pPr>
              <w:spacing w:after="0"/>
              <w:rPr>
                <w:sz w:val="24"/>
                <w:szCs w:val="24"/>
                <w:color w:val="auto"/>
              </w:rPr>
            </w:pPr>
          </w:p>
        </w:tc>
        <w:tc>
          <w:tcPr>
            <w:tcW w:w="900" w:type="dxa"/>
            <w:vAlign w:val="bottom"/>
            <w:shd w:val="clear" w:color="auto" w:fill="E9F8FD"/>
          </w:tcPr>
          <w:p>
            <w:pPr>
              <w:jc w:val="center"/>
              <w:ind w:right="140"/>
              <w:spacing w:after="0"/>
              <w:rPr>
                <w:sz w:val="20"/>
                <w:szCs w:val="20"/>
                <w:color w:val="auto"/>
              </w:rPr>
            </w:pPr>
            <w:r>
              <w:rPr>
                <w:rFonts w:ascii="Arial" w:cs="Arial" w:eastAsia="Arial" w:hAnsi="Arial"/>
                <w:sz w:val="16"/>
                <w:szCs w:val="16"/>
                <w:color w:val="42B6E9"/>
              </w:rPr>
              <w:t>2020</w:t>
            </w:r>
          </w:p>
        </w:tc>
        <w:tc>
          <w:tcPr>
            <w:tcW w:w="1500" w:type="dxa"/>
            <w:vAlign w:val="bottom"/>
            <w:shd w:val="clear" w:color="auto" w:fill="E9F8FD"/>
          </w:tcPr>
          <w:p>
            <w:pPr>
              <w:jc w:val="right"/>
              <w:ind w:right="461"/>
              <w:spacing w:after="0"/>
              <w:rPr>
                <w:sz w:val="20"/>
                <w:szCs w:val="20"/>
                <w:color w:val="auto"/>
              </w:rPr>
            </w:pPr>
            <w:r>
              <w:rPr>
                <w:rFonts w:ascii="Arial" w:cs="Arial" w:eastAsia="Arial" w:hAnsi="Arial"/>
                <w:sz w:val="16"/>
                <w:szCs w:val="16"/>
                <w:color w:val="42B6E9"/>
              </w:rPr>
              <w:t>285,823</w:t>
            </w:r>
          </w:p>
        </w:tc>
        <w:tc>
          <w:tcPr>
            <w:tcW w:w="1520" w:type="dxa"/>
            <w:vAlign w:val="bottom"/>
            <w:shd w:val="clear" w:color="auto" w:fill="E9F8FD"/>
          </w:tcPr>
          <w:p>
            <w:pPr>
              <w:ind w:left="700"/>
              <w:spacing w:after="0"/>
              <w:rPr>
                <w:sz w:val="20"/>
                <w:szCs w:val="20"/>
                <w:color w:val="auto"/>
              </w:rPr>
            </w:pPr>
            <w:r>
              <w:rPr>
                <w:rFonts w:ascii="Arial" w:cs="Arial" w:eastAsia="Arial" w:hAnsi="Arial"/>
                <w:sz w:val="16"/>
                <w:szCs w:val="16"/>
                <w:color w:val="42B6E9"/>
              </w:rPr>
              <w:t>—</w:t>
            </w:r>
          </w:p>
        </w:tc>
        <w:tc>
          <w:tcPr>
            <w:tcW w:w="1740" w:type="dxa"/>
            <w:vAlign w:val="bottom"/>
            <w:shd w:val="clear" w:color="auto" w:fill="E9F8FD"/>
          </w:tcPr>
          <w:p>
            <w:pPr>
              <w:jc w:val="right"/>
              <w:ind w:right="402"/>
              <w:spacing w:after="0"/>
              <w:rPr>
                <w:sz w:val="20"/>
                <w:szCs w:val="20"/>
                <w:color w:val="auto"/>
              </w:rPr>
            </w:pPr>
            <w:r>
              <w:rPr>
                <w:rFonts w:ascii="Arial" w:cs="Arial" w:eastAsia="Arial" w:hAnsi="Arial"/>
                <w:sz w:val="16"/>
                <w:szCs w:val="16"/>
                <w:color w:val="42B6E9"/>
              </w:rPr>
              <w:t>1,930,724</w:t>
            </w:r>
          </w:p>
        </w:tc>
        <w:tc>
          <w:tcPr>
            <w:tcW w:w="1380" w:type="dxa"/>
            <w:vAlign w:val="bottom"/>
            <w:shd w:val="clear" w:color="auto" w:fill="E9F8FD"/>
          </w:tcPr>
          <w:p>
            <w:pPr>
              <w:jc w:val="right"/>
              <w:ind w:right="41"/>
              <w:spacing w:after="0"/>
              <w:rPr>
                <w:sz w:val="20"/>
                <w:szCs w:val="20"/>
                <w:color w:val="auto"/>
              </w:rPr>
            </w:pPr>
            <w:r>
              <w:rPr>
                <w:rFonts w:ascii="Arial" w:cs="Arial" w:eastAsia="Arial" w:hAnsi="Arial"/>
                <w:sz w:val="16"/>
                <w:szCs w:val="16"/>
                <w:color w:val="42B6E9"/>
              </w:rPr>
              <w:t>2,216,547</w:t>
            </w:r>
          </w:p>
        </w:tc>
      </w:tr>
      <w:tr>
        <w:trPr>
          <w:trHeight w:val="438"/>
        </w:trPr>
        <w:tc>
          <w:tcPr>
            <w:tcW w:w="2520" w:type="dxa"/>
            <w:vAlign w:val="bottom"/>
            <w:shd w:val="clear" w:color="auto" w:fill="E9F8FD"/>
          </w:tcPr>
          <w:p>
            <w:pPr>
              <w:spacing w:after="0"/>
              <w:rPr>
                <w:sz w:val="24"/>
                <w:szCs w:val="24"/>
                <w:color w:val="auto"/>
              </w:rPr>
            </w:pPr>
          </w:p>
        </w:tc>
        <w:tc>
          <w:tcPr>
            <w:tcW w:w="900" w:type="dxa"/>
            <w:vAlign w:val="bottom"/>
            <w:shd w:val="clear" w:color="auto" w:fill="E9F8FD"/>
          </w:tcPr>
          <w:p>
            <w:pPr>
              <w:jc w:val="center"/>
              <w:ind w:right="140"/>
              <w:spacing w:after="0"/>
              <w:rPr>
                <w:sz w:val="20"/>
                <w:szCs w:val="20"/>
                <w:color w:val="auto"/>
              </w:rPr>
            </w:pPr>
            <w:r>
              <w:rPr>
                <w:rFonts w:ascii="Arial" w:cs="Arial" w:eastAsia="Arial" w:hAnsi="Arial"/>
                <w:sz w:val="16"/>
                <w:szCs w:val="16"/>
                <w:color w:val="42B6E9"/>
              </w:rPr>
              <w:t>2019</w:t>
            </w:r>
          </w:p>
        </w:tc>
        <w:tc>
          <w:tcPr>
            <w:tcW w:w="1500" w:type="dxa"/>
            <w:vAlign w:val="bottom"/>
            <w:shd w:val="clear" w:color="auto" w:fill="E9F8FD"/>
          </w:tcPr>
          <w:p>
            <w:pPr>
              <w:jc w:val="right"/>
              <w:ind w:right="301"/>
              <w:spacing w:after="0"/>
              <w:rPr>
                <w:sz w:val="20"/>
                <w:szCs w:val="20"/>
                <w:color w:val="auto"/>
              </w:rPr>
            </w:pPr>
            <w:r>
              <w:rPr>
                <w:rFonts w:ascii="Arial" w:cs="Arial" w:eastAsia="Arial" w:hAnsi="Arial"/>
                <w:sz w:val="16"/>
                <w:szCs w:val="16"/>
                <w:color w:val="42B6E9"/>
              </w:rPr>
              <w:t>75,000</w:t>
            </w:r>
            <w:r>
              <w:rPr>
                <w:rFonts w:ascii="Arial" w:cs="Arial" w:eastAsia="Arial" w:hAnsi="Arial"/>
                <w:sz w:val="26"/>
                <w:szCs w:val="26"/>
                <w:color w:val="42B6E9"/>
                <w:vertAlign w:val="superscript"/>
              </w:rPr>
              <w:t>(2)</w:t>
            </w:r>
          </w:p>
        </w:tc>
        <w:tc>
          <w:tcPr>
            <w:tcW w:w="1520" w:type="dxa"/>
            <w:vAlign w:val="bottom"/>
            <w:shd w:val="clear" w:color="auto" w:fill="E9F8FD"/>
          </w:tcPr>
          <w:p>
            <w:pPr>
              <w:jc w:val="center"/>
              <w:ind w:right="381"/>
              <w:spacing w:after="0"/>
              <w:rPr>
                <w:sz w:val="20"/>
                <w:szCs w:val="20"/>
                <w:color w:val="auto"/>
              </w:rPr>
            </w:pPr>
            <w:r>
              <w:rPr>
                <w:rFonts w:ascii="Arial" w:cs="Arial" w:eastAsia="Arial" w:hAnsi="Arial"/>
                <w:sz w:val="16"/>
                <w:szCs w:val="16"/>
                <w:color w:val="42B6E9"/>
              </w:rPr>
              <w:t>50,000</w:t>
            </w:r>
            <w:r>
              <w:rPr>
                <w:rFonts w:ascii="Arial" w:cs="Arial" w:eastAsia="Arial" w:hAnsi="Arial"/>
                <w:sz w:val="26"/>
                <w:szCs w:val="26"/>
                <w:color w:val="42B6E9"/>
                <w:vertAlign w:val="superscript"/>
              </w:rPr>
              <w:t>(3)</w:t>
            </w:r>
          </w:p>
        </w:tc>
        <w:tc>
          <w:tcPr>
            <w:tcW w:w="1740" w:type="dxa"/>
            <w:vAlign w:val="bottom"/>
            <w:shd w:val="clear" w:color="auto" w:fill="E9F8FD"/>
          </w:tcPr>
          <w:p>
            <w:pPr>
              <w:jc w:val="right"/>
              <w:ind w:right="402"/>
              <w:spacing w:after="0"/>
              <w:rPr>
                <w:sz w:val="20"/>
                <w:szCs w:val="20"/>
                <w:color w:val="auto"/>
              </w:rPr>
            </w:pPr>
            <w:r>
              <w:rPr>
                <w:rFonts w:ascii="Arial" w:cs="Arial" w:eastAsia="Arial" w:hAnsi="Arial"/>
                <w:sz w:val="16"/>
                <w:szCs w:val="16"/>
                <w:color w:val="42B6E9"/>
              </w:rPr>
              <w:t>1,335,568</w:t>
            </w:r>
          </w:p>
        </w:tc>
        <w:tc>
          <w:tcPr>
            <w:tcW w:w="1380" w:type="dxa"/>
            <w:vAlign w:val="bottom"/>
            <w:shd w:val="clear" w:color="auto" w:fill="E9F8FD"/>
          </w:tcPr>
          <w:p>
            <w:pPr>
              <w:jc w:val="right"/>
              <w:ind w:right="41"/>
              <w:spacing w:after="0"/>
              <w:rPr>
                <w:sz w:val="20"/>
                <w:szCs w:val="20"/>
                <w:color w:val="auto"/>
              </w:rPr>
            </w:pPr>
            <w:r>
              <w:rPr>
                <w:rFonts w:ascii="Arial" w:cs="Arial" w:eastAsia="Arial" w:hAnsi="Arial"/>
                <w:sz w:val="16"/>
                <w:szCs w:val="16"/>
                <w:color w:val="42B6E9"/>
              </w:rPr>
              <w:t>1,460,568</w:t>
            </w:r>
          </w:p>
        </w:tc>
      </w:tr>
    </w:tbl>
    <w:p>
      <w:pPr>
        <w:spacing w:after="0" w:line="113" w:lineRule="exact"/>
        <w:rPr>
          <w:sz w:val="20"/>
          <w:szCs w:val="20"/>
          <w:color w:val="auto"/>
        </w:rPr>
      </w:pPr>
    </w:p>
    <w:p>
      <w:pPr>
        <w:ind w:left="244" w:hanging="244"/>
        <w:spacing w:after="0" w:line="229" w:lineRule="auto"/>
        <w:tabs>
          <w:tab w:leader="none" w:pos="244"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The amounts reported in this column reflect the accounting value for these equity awards and may not correspond to the actual economic value that may be received by our named executive officers from the equity awards. In accordance with SEC rules, this column reflects the grant date fair value of RSUs calculated in accordance with ASC Topic 718 for stock-based compensation transactions. The RSUs granted to our named executive officers other than Mr. Szulczewski prior to our initial public offering were subject to both a service-based vesting condition and a liquidity-based vesting condition, the liquidity-based vesting condition of which was satisfied upon the effectiveness of our initial public offering. Mr. Szulczewski received a performance-based RSU award on December 7, 2020, which we refer to as the “CEO Performance Award.” The vesting of the RSUs is contingent upon the achievement of stock price performance targets as well as continued employment as our Chief Executive Officer, as described in detail in the “CEO Performance Award” section of the “Compensation Discussion and Analysis” beginning on page </w:t>
      </w:r>
      <w:hyperlink w:anchor="page27">
        <w:r>
          <w:rPr>
            <w:rFonts w:ascii="Arial" w:cs="Arial" w:eastAsia="Arial" w:hAnsi="Arial"/>
            <w:sz w:val="14"/>
            <w:szCs w:val="14"/>
            <w:u w:val="single" w:color="auto"/>
            <w:color w:val="0000EE"/>
          </w:rPr>
          <w:t>22</w:t>
        </w:r>
      </w:hyperlink>
      <w:r>
        <w:rPr>
          <w:rFonts w:ascii="Arial" w:cs="Arial" w:eastAsia="Arial" w:hAnsi="Arial"/>
          <w:sz w:val="14"/>
          <w:szCs w:val="14"/>
          <w:color w:val="auto"/>
        </w:rPr>
        <w:t>. In accordance with SEC rules, the grant date fair value reflected in the table above for the CEO Performance Award is based on the probable outcome of the performance conditions applicable to the award.</w:t>
      </w:r>
    </w:p>
    <w:p>
      <w:pPr>
        <w:spacing w:after="0" w:line="6" w:lineRule="exact"/>
        <w:rPr>
          <w:rFonts w:ascii="Arial" w:cs="Arial" w:eastAsia="Arial" w:hAnsi="Arial"/>
          <w:sz w:val="14"/>
          <w:szCs w:val="14"/>
          <w:color w:val="auto"/>
        </w:rPr>
      </w:pPr>
    </w:p>
    <w:p>
      <w:pPr>
        <w:ind w:left="244" w:hanging="244"/>
        <w:spacing w:after="0" w:line="183" w:lineRule="auto"/>
        <w:tabs>
          <w:tab w:leader="none" w:pos="244" w:val="left"/>
        </w:tabs>
        <w:numPr>
          <w:ilvl w:val="0"/>
          <w:numId w:val="41"/>
        </w:numPr>
        <w:rPr>
          <w:rFonts w:ascii="Arial" w:cs="Arial" w:eastAsia="Arial" w:hAnsi="Arial"/>
          <w:sz w:val="20"/>
          <w:szCs w:val="20"/>
          <w:color w:val="auto"/>
          <w:vertAlign w:val="superscript"/>
        </w:rPr>
      </w:pPr>
      <w:r>
        <w:rPr>
          <w:rFonts w:ascii="Arial" w:cs="Arial" w:eastAsia="Arial" w:hAnsi="Arial"/>
          <w:sz w:val="14"/>
          <w:szCs w:val="14"/>
          <w:color w:val="auto"/>
        </w:rPr>
        <w:t>Represents Mr. Liu’s prorated annual salary of $275,000 following his commencement of employment in September 2019.</w:t>
      </w:r>
    </w:p>
    <w:p>
      <w:pPr>
        <w:spacing w:after="0" w:line="3" w:lineRule="exact"/>
        <w:rPr>
          <w:rFonts w:ascii="Arial" w:cs="Arial" w:eastAsia="Arial" w:hAnsi="Arial"/>
          <w:sz w:val="20"/>
          <w:szCs w:val="20"/>
          <w:color w:val="auto"/>
          <w:vertAlign w:val="superscript"/>
        </w:rPr>
      </w:pPr>
    </w:p>
    <w:p>
      <w:pPr>
        <w:ind w:left="244" w:hanging="244"/>
        <w:spacing w:after="0" w:line="189" w:lineRule="auto"/>
        <w:tabs>
          <w:tab w:leader="none" w:pos="244" w:val="left"/>
        </w:tabs>
        <w:numPr>
          <w:ilvl w:val="0"/>
          <w:numId w:val="41"/>
        </w:numPr>
        <w:rPr>
          <w:rFonts w:ascii="Arial" w:cs="Arial" w:eastAsia="Arial" w:hAnsi="Arial"/>
          <w:sz w:val="19"/>
          <w:szCs w:val="19"/>
          <w:color w:val="auto"/>
          <w:vertAlign w:val="superscript"/>
        </w:rPr>
      </w:pPr>
      <w:r>
        <w:rPr>
          <w:rFonts w:ascii="Arial" w:cs="Arial" w:eastAsia="Arial" w:hAnsi="Arial"/>
          <w:sz w:val="13"/>
          <w:szCs w:val="13"/>
          <w:color w:val="auto"/>
        </w:rPr>
        <w:t>Represents a signing bonus paid to Mr. Liu following his commencement of employment with us.</w:t>
      </w:r>
    </w:p>
    <w:p>
      <w:pPr>
        <w:spacing w:after="0" w:line="188" w:lineRule="exact"/>
        <w:rPr>
          <w:sz w:val="20"/>
          <w:szCs w:val="20"/>
          <w:color w:val="auto"/>
        </w:rPr>
      </w:pPr>
    </w:p>
    <w:p>
      <w:pPr>
        <w:ind w:left="524" w:hanging="524"/>
        <w:spacing w:after="0"/>
        <w:tabs>
          <w:tab w:leader="none" w:pos="524" w:val="left"/>
        </w:tabs>
        <w:numPr>
          <w:ilvl w:val="0"/>
          <w:numId w:val="42"/>
        </w:numPr>
        <w:rPr>
          <w:rFonts w:ascii="Arial" w:cs="Arial" w:eastAsia="Arial" w:hAnsi="Arial"/>
          <w:sz w:val="14"/>
          <w:szCs w:val="14"/>
          <w:b w:val="1"/>
          <w:bCs w:val="1"/>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31" w:name="page32"/>
    <w:bookmarkEnd w:id="31"/>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42B6E9"/>
        </w:rPr>
        <w:t>EXECUTIVE COMPENSATION (continued)</w:t>
      </w:r>
    </w:p>
    <w:p>
      <w:pPr>
        <w:spacing w:after="0" w:line="378" w:lineRule="exact"/>
        <w:rPr>
          <w:sz w:val="20"/>
          <w:szCs w:val="20"/>
          <w:color w:val="auto"/>
        </w:rPr>
      </w:pPr>
    </w:p>
    <w:p>
      <w:pPr>
        <w:ind w:left="720"/>
        <w:spacing w:after="0"/>
        <w:rPr>
          <w:sz w:val="20"/>
          <w:szCs w:val="20"/>
          <w:color w:val="auto"/>
        </w:rPr>
      </w:pPr>
      <w:r>
        <w:rPr>
          <w:rFonts w:ascii="Arial" w:cs="Arial" w:eastAsia="Arial" w:hAnsi="Arial"/>
          <w:sz w:val="26"/>
          <w:szCs w:val="26"/>
          <w:color w:val="42B6E9"/>
        </w:rPr>
        <w:t>Grants of Plan-Based Awards Table for 2020</w:t>
      </w:r>
    </w:p>
    <w:p>
      <w:pPr>
        <w:spacing w:after="0" w:line="169" w:lineRule="exact"/>
        <w:rPr>
          <w:sz w:val="20"/>
          <w:szCs w:val="20"/>
          <w:color w:val="auto"/>
        </w:rPr>
      </w:pPr>
    </w:p>
    <w:p>
      <w:pPr>
        <w:ind w:left="720" w:right="960"/>
        <w:spacing w:after="0" w:line="260" w:lineRule="auto"/>
        <w:rPr>
          <w:sz w:val="20"/>
          <w:szCs w:val="20"/>
          <w:color w:val="auto"/>
        </w:rPr>
      </w:pPr>
      <w:r>
        <w:rPr>
          <w:rFonts w:ascii="Arial" w:cs="Arial" w:eastAsia="Arial" w:hAnsi="Arial"/>
          <w:sz w:val="16"/>
          <w:szCs w:val="16"/>
          <w:color w:val="auto"/>
        </w:rPr>
        <w:t>The following table provides information on the grants of plan-based awards made to each named executive officer during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28575</wp:posOffset>
            </wp:positionV>
            <wp:extent cx="6077585" cy="23577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77585" cy="2357755"/>
                    </a:xfrm>
                    <a:prstGeom prst="rect">
                      <a:avLst/>
                    </a:prstGeom>
                    <a:noFill/>
                  </pic:spPr>
                </pic:pic>
              </a:graphicData>
            </a:graphic>
          </wp:anchor>
        </w:drawing>
      </w:r>
    </w:p>
    <w:p>
      <w:pPr>
        <w:spacing w:after="0" w:line="25" w:lineRule="exact"/>
        <w:rPr>
          <w:sz w:val="20"/>
          <w:szCs w:val="20"/>
          <w:color w:val="auto"/>
        </w:rPr>
      </w:pPr>
    </w:p>
    <w:tbl>
      <w:tblPr>
        <w:tblLayout w:type="fixed"/>
        <w:tblInd w:w="720" w:type="dxa"/>
        <w:tblCellMar>
          <w:top w:w="0" w:type="dxa"/>
          <w:left w:w="0" w:type="dxa"/>
          <w:bottom w:w="0" w:type="dxa"/>
          <w:right w:w="0" w:type="dxa"/>
        </w:tblCellMar>
      </w:tblPr>
      <w:tr>
        <w:trPr>
          <w:trHeight w:val="257"/>
        </w:trPr>
        <w:tc>
          <w:tcPr>
            <w:tcW w:w="1780" w:type="dxa"/>
            <w:vAlign w:val="bottom"/>
            <w:shd w:val="clear" w:color="auto" w:fill="42B6E9"/>
          </w:tcPr>
          <w:p>
            <w:pPr>
              <w:spacing w:after="0"/>
              <w:rPr>
                <w:sz w:val="22"/>
                <w:szCs w:val="22"/>
                <w:color w:val="auto"/>
              </w:rPr>
            </w:pPr>
          </w:p>
        </w:tc>
        <w:tc>
          <w:tcPr>
            <w:tcW w:w="1340" w:type="dxa"/>
            <w:vAlign w:val="bottom"/>
            <w:shd w:val="clear" w:color="auto" w:fill="42B6E9"/>
          </w:tcPr>
          <w:p>
            <w:pPr>
              <w:spacing w:after="0"/>
              <w:rPr>
                <w:sz w:val="22"/>
                <w:szCs w:val="22"/>
                <w:color w:val="auto"/>
              </w:rPr>
            </w:pPr>
          </w:p>
        </w:tc>
        <w:tc>
          <w:tcPr>
            <w:tcW w:w="1140" w:type="dxa"/>
            <w:vAlign w:val="bottom"/>
            <w:shd w:val="clear" w:color="auto" w:fill="42B6E9"/>
          </w:tcPr>
          <w:p>
            <w:pPr>
              <w:spacing w:after="0"/>
              <w:rPr>
                <w:sz w:val="22"/>
                <w:szCs w:val="22"/>
                <w:color w:val="auto"/>
              </w:rPr>
            </w:pPr>
          </w:p>
        </w:tc>
        <w:tc>
          <w:tcPr>
            <w:tcW w:w="2460" w:type="dxa"/>
            <w:vAlign w:val="bottom"/>
            <w:gridSpan w:val="2"/>
            <w:shd w:val="clear" w:color="auto" w:fill="42B6E9"/>
          </w:tcPr>
          <w:p>
            <w:pPr>
              <w:jc w:val="center"/>
              <w:spacing w:after="0"/>
              <w:rPr>
                <w:sz w:val="20"/>
                <w:szCs w:val="20"/>
                <w:color w:val="auto"/>
              </w:rPr>
            </w:pPr>
            <w:r>
              <w:rPr>
                <w:rFonts w:ascii="Arial" w:cs="Arial" w:eastAsia="Arial" w:hAnsi="Arial"/>
                <w:sz w:val="14"/>
                <w:szCs w:val="14"/>
                <w:b w:val="1"/>
                <w:bCs w:val="1"/>
                <w:color w:val="FFFFFF"/>
              </w:rPr>
              <w:t>Estimated Future Payouts</w:t>
            </w:r>
          </w:p>
        </w:tc>
        <w:tc>
          <w:tcPr>
            <w:tcW w:w="1520" w:type="dxa"/>
            <w:vAlign w:val="bottom"/>
            <w:shd w:val="clear" w:color="auto" w:fill="42B6E9"/>
          </w:tcPr>
          <w:p>
            <w:pPr>
              <w:spacing w:after="0"/>
              <w:rPr>
                <w:sz w:val="22"/>
                <w:szCs w:val="22"/>
                <w:color w:val="auto"/>
              </w:rPr>
            </w:pPr>
          </w:p>
        </w:tc>
        <w:tc>
          <w:tcPr>
            <w:tcW w:w="1320" w:type="dxa"/>
            <w:vAlign w:val="bottom"/>
            <w:shd w:val="clear" w:color="auto" w:fill="42B6E9"/>
          </w:tcPr>
          <w:p>
            <w:pPr>
              <w:spacing w:after="0"/>
              <w:rPr>
                <w:sz w:val="22"/>
                <w:szCs w:val="22"/>
                <w:color w:val="auto"/>
              </w:rPr>
            </w:pPr>
          </w:p>
        </w:tc>
      </w:tr>
      <w:tr>
        <w:trPr>
          <w:trHeight w:val="148"/>
        </w:trPr>
        <w:tc>
          <w:tcPr>
            <w:tcW w:w="1780" w:type="dxa"/>
            <w:vAlign w:val="bottom"/>
            <w:shd w:val="clear" w:color="auto" w:fill="42B6E9"/>
          </w:tcPr>
          <w:p>
            <w:pPr>
              <w:spacing w:after="0"/>
              <w:rPr>
                <w:sz w:val="12"/>
                <w:szCs w:val="12"/>
                <w:color w:val="auto"/>
              </w:rPr>
            </w:pPr>
          </w:p>
        </w:tc>
        <w:tc>
          <w:tcPr>
            <w:tcW w:w="1340" w:type="dxa"/>
            <w:vAlign w:val="bottom"/>
            <w:shd w:val="clear" w:color="auto" w:fill="42B6E9"/>
          </w:tcPr>
          <w:p>
            <w:pPr>
              <w:spacing w:after="0"/>
              <w:rPr>
                <w:sz w:val="12"/>
                <w:szCs w:val="12"/>
                <w:color w:val="auto"/>
              </w:rPr>
            </w:pPr>
          </w:p>
        </w:tc>
        <w:tc>
          <w:tcPr>
            <w:tcW w:w="1140" w:type="dxa"/>
            <w:vAlign w:val="bottom"/>
            <w:shd w:val="clear" w:color="auto" w:fill="42B6E9"/>
          </w:tcPr>
          <w:p>
            <w:pPr>
              <w:spacing w:after="0"/>
              <w:rPr>
                <w:sz w:val="12"/>
                <w:szCs w:val="12"/>
                <w:color w:val="auto"/>
              </w:rPr>
            </w:pPr>
          </w:p>
        </w:tc>
        <w:tc>
          <w:tcPr>
            <w:tcW w:w="2460" w:type="dxa"/>
            <w:vAlign w:val="bottom"/>
            <w:gridSpan w:val="2"/>
            <w:shd w:val="clear" w:color="auto" w:fill="42B6E9"/>
          </w:tcPr>
          <w:p>
            <w:pPr>
              <w:jc w:val="center"/>
              <w:spacing w:after="0" w:line="148" w:lineRule="exact"/>
              <w:rPr>
                <w:sz w:val="20"/>
                <w:szCs w:val="20"/>
                <w:color w:val="auto"/>
              </w:rPr>
            </w:pPr>
            <w:r>
              <w:rPr>
                <w:rFonts w:ascii="Arial" w:cs="Arial" w:eastAsia="Arial" w:hAnsi="Arial"/>
                <w:sz w:val="14"/>
                <w:szCs w:val="14"/>
                <w:b w:val="1"/>
                <w:bCs w:val="1"/>
                <w:color w:val="FFFFFF"/>
              </w:rPr>
              <w:t>Under Equity Incentive</w:t>
            </w:r>
          </w:p>
        </w:tc>
        <w:tc>
          <w:tcPr>
            <w:tcW w:w="1520" w:type="dxa"/>
            <w:vAlign w:val="bottom"/>
            <w:shd w:val="clear" w:color="auto" w:fill="42B6E9"/>
          </w:tcPr>
          <w:p>
            <w:pPr>
              <w:spacing w:after="0"/>
              <w:rPr>
                <w:sz w:val="12"/>
                <w:szCs w:val="12"/>
                <w:color w:val="auto"/>
              </w:rPr>
            </w:pPr>
          </w:p>
        </w:tc>
        <w:tc>
          <w:tcPr>
            <w:tcW w:w="1320" w:type="dxa"/>
            <w:vAlign w:val="bottom"/>
            <w:shd w:val="clear" w:color="auto" w:fill="42B6E9"/>
          </w:tcPr>
          <w:p>
            <w:pPr>
              <w:spacing w:after="0"/>
              <w:rPr>
                <w:sz w:val="12"/>
                <w:szCs w:val="12"/>
                <w:color w:val="auto"/>
              </w:rPr>
            </w:pPr>
          </w:p>
        </w:tc>
      </w:tr>
      <w:tr>
        <w:trPr>
          <w:trHeight w:val="283"/>
        </w:trPr>
        <w:tc>
          <w:tcPr>
            <w:tcW w:w="1780" w:type="dxa"/>
            <w:vAlign w:val="bottom"/>
            <w:shd w:val="clear" w:color="auto" w:fill="42B6E9"/>
          </w:tcPr>
          <w:p>
            <w:pPr>
              <w:spacing w:after="0"/>
              <w:rPr>
                <w:sz w:val="24"/>
                <w:szCs w:val="24"/>
                <w:color w:val="auto"/>
              </w:rPr>
            </w:pPr>
          </w:p>
        </w:tc>
        <w:tc>
          <w:tcPr>
            <w:tcW w:w="1340" w:type="dxa"/>
            <w:vAlign w:val="bottom"/>
            <w:shd w:val="clear" w:color="auto" w:fill="42B6E9"/>
          </w:tcPr>
          <w:p>
            <w:pPr>
              <w:spacing w:after="0"/>
              <w:rPr>
                <w:sz w:val="24"/>
                <w:szCs w:val="24"/>
                <w:color w:val="auto"/>
              </w:rPr>
            </w:pPr>
          </w:p>
        </w:tc>
        <w:tc>
          <w:tcPr>
            <w:tcW w:w="1140" w:type="dxa"/>
            <w:vAlign w:val="bottom"/>
            <w:shd w:val="clear" w:color="auto" w:fill="42B6E9"/>
          </w:tcPr>
          <w:p>
            <w:pPr>
              <w:spacing w:after="0"/>
              <w:rPr>
                <w:sz w:val="24"/>
                <w:szCs w:val="24"/>
                <w:color w:val="auto"/>
              </w:rPr>
            </w:pPr>
          </w:p>
        </w:tc>
        <w:tc>
          <w:tcPr>
            <w:tcW w:w="2460" w:type="dxa"/>
            <w:vAlign w:val="bottom"/>
            <w:gridSpan w:val="2"/>
            <w:shd w:val="clear" w:color="auto" w:fill="42B6E9"/>
          </w:tcPr>
          <w:p>
            <w:pPr>
              <w:jc w:val="center"/>
              <w:spacing w:after="0"/>
              <w:rPr>
                <w:sz w:val="20"/>
                <w:szCs w:val="20"/>
                <w:color w:val="auto"/>
              </w:rPr>
            </w:pPr>
            <w:r>
              <w:rPr>
                <w:rFonts w:ascii="Arial" w:cs="Arial" w:eastAsia="Arial" w:hAnsi="Arial"/>
                <w:sz w:val="14"/>
                <w:szCs w:val="14"/>
                <w:b w:val="1"/>
                <w:bCs w:val="1"/>
                <w:color w:val="FFFFFF"/>
                <w:w w:val="99"/>
              </w:rPr>
              <w:t>Plan Awards</w:t>
            </w:r>
            <w:r>
              <w:rPr>
                <w:rFonts w:ascii="Arial" w:cs="Arial" w:eastAsia="Arial" w:hAnsi="Arial"/>
                <w:sz w:val="23"/>
                <w:szCs w:val="23"/>
                <w:b w:val="1"/>
                <w:bCs w:val="1"/>
                <w:color w:val="FFFFFF"/>
                <w:w w:val="99"/>
                <w:vertAlign w:val="superscript"/>
              </w:rPr>
              <w:t>(1)</w:t>
            </w:r>
          </w:p>
        </w:tc>
        <w:tc>
          <w:tcPr>
            <w:tcW w:w="1520" w:type="dxa"/>
            <w:vAlign w:val="bottom"/>
            <w:shd w:val="clear" w:color="auto" w:fill="42B6E9"/>
          </w:tcPr>
          <w:p>
            <w:pPr>
              <w:spacing w:after="0"/>
              <w:rPr>
                <w:sz w:val="24"/>
                <w:szCs w:val="24"/>
                <w:color w:val="auto"/>
              </w:rPr>
            </w:pPr>
          </w:p>
        </w:tc>
        <w:tc>
          <w:tcPr>
            <w:tcW w:w="1320" w:type="dxa"/>
            <w:vAlign w:val="bottom"/>
            <w:shd w:val="clear" w:color="auto" w:fill="42B6E9"/>
          </w:tcPr>
          <w:p>
            <w:pPr>
              <w:spacing w:after="0"/>
              <w:rPr>
                <w:sz w:val="24"/>
                <w:szCs w:val="24"/>
                <w:color w:val="auto"/>
              </w:rPr>
            </w:pPr>
          </w:p>
        </w:tc>
      </w:tr>
      <w:tr>
        <w:trPr>
          <w:trHeight w:val="230"/>
        </w:trPr>
        <w:tc>
          <w:tcPr>
            <w:tcW w:w="1780" w:type="dxa"/>
            <w:vAlign w:val="bottom"/>
            <w:shd w:val="clear" w:color="auto" w:fill="42B6E9"/>
          </w:tcPr>
          <w:p>
            <w:pPr>
              <w:spacing w:after="0"/>
              <w:rPr>
                <w:sz w:val="19"/>
                <w:szCs w:val="19"/>
                <w:color w:val="auto"/>
              </w:rPr>
            </w:pPr>
          </w:p>
        </w:tc>
        <w:tc>
          <w:tcPr>
            <w:tcW w:w="1340" w:type="dxa"/>
            <w:vAlign w:val="bottom"/>
            <w:shd w:val="clear" w:color="auto" w:fill="42B6E9"/>
          </w:tcPr>
          <w:p>
            <w:pPr>
              <w:spacing w:after="0"/>
              <w:rPr>
                <w:sz w:val="19"/>
                <w:szCs w:val="19"/>
                <w:color w:val="auto"/>
              </w:rPr>
            </w:pPr>
          </w:p>
        </w:tc>
        <w:tc>
          <w:tcPr>
            <w:tcW w:w="1140" w:type="dxa"/>
            <w:vAlign w:val="bottom"/>
            <w:shd w:val="clear" w:color="auto" w:fill="42B6E9"/>
          </w:tcPr>
          <w:p>
            <w:pPr>
              <w:spacing w:after="0"/>
              <w:rPr>
                <w:sz w:val="19"/>
                <w:szCs w:val="19"/>
                <w:color w:val="auto"/>
              </w:rPr>
            </w:pPr>
          </w:p>
        </w:tc>
        <w:tc>
          <w:tcPr>
            <w:tcW w:w="1200" w:type="dxa"/>
            <w:vAlign w:val="bottom"/>
            <w:shd w:val="clear" w:color="auto" w:fill="42B6E9"/>
          </w:tcPr>
          <w:p>
            <w:pPr>
              <w:spacing w:after="0"/>
              <w:rPr>
                <w:sz w:val="19"/>
                <w:szCs w:val="19"/>
                <w:color w:val="auto"/>
              </w:rPr>
            </w:pPr>
          </w:p>
        </w:tc>
        <w:tc>
          <w:tcPr>
            <w:tcW w:w="1260" w:type="dxa"/>
            <w:vAlign w:val="bottom"/>
            <w:shd w:val="clear" w:color="auto" w:fill="42B6E9"/>
          </w:tcPr>
          <w:p>
            <w:pPr>
              <w:spacing w:after="0"/>
              <w:rPr>
                <w:sz w:val="19"/>
                <w:szCs w:val="19"/>
                <w:color w:val="auto"/>
              </w:rPr>
            </w:pPr>
          </w:p>
        </w:tc>
        <w:tc>
          <w:tcPr>
            <w:tcW w:w="152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All Other Stock</w:t>
            </w:r>
          </w:p>
        </w:tc>
        <w:tc>
          <w:tcPr>
            <w:tcW w:w="1320" w:type="dxa"/>
            <w:vAlign w:val="bottom"/>
            <w:shd w:val="clear" w:color="auto" w:fill="42B6E9"/>
          </w:tcPr>
          <w:p>
            <w:pPr>
              <w:spacing w:after="0"/>
              <w:rPr>
                <w:sz w:val="19"/>
                <w:szCs w:val="19"/>
                <w:color w:val="auto"/>
              </w:rPr>
            </w:pPr>
          </w:p>
        </w:tc>
      </w:tr>
      <w:tr>
        <w:trPr>
          <w:trHeight w:val="162"/>
        </w:trPr>
        <w:tc>
          <w:tcPr>
            <w:tcW w:w="1780" w:type="dxa"/>
            <w:vAlign w:val="bottom"/>
            <w:shd w:val="clear" w:color="auto" w:fill="42B6E9"/>
          </w:tcPr>
          <w:p>
            <w:pPr>
              <w:spacing w:after="0"/>
              <w:rPr>
                <w:sz w:val="14"/>
                <w:szCs w:val="14"/>
                <w:color w:val="auto"/>
              </w:rPr>
            </w:pPr>
          </w:p>
        </w:tc>
        <w:tc>
          <w:tcPr>
            <w:tcW w:w="1340" w:type="dxa"/>
            <w:vAlign w:val="bottom"/>
            <w:shd w:val="clear" w:color="auto" w:fill="42B6E9"/>
          </w:tcPr>
          <w:p>
            <w:pPr>
              <w:spacing w:after="0"/>
              <w:rPr>
                <w:sz w:val="14"/>
                <w:szCs w:val="14"/>
                <w:color w:val="auto"/>
              </w:rPr>
            </w:pPr>
          </w:p>
        </w:tc>
        <w:tc>
          <w:tcPr>
            <w:tcW w:w="1140" w:type="dxa"/>
            <w:vAlign w:val="bottom"/>
            <w:shd w:val="clear" w:color="auto" w:fill="42B6E9"/>
          </w:tcPr>
          <w:p>
            <w:pPr>
              <w:spacing w:after="0"/>
              <w:rPr>
                <w:sz w:val="14"/>
                <w:szCs w:val="14"/>
                <w:color w:val="auto"/>
              </w:rPr>
            </w:pPr>
          </w:p>
        </w:tc>
        <w:tc>
          <w:tcPr>
            <w:tcW w:w="1200" w:type="dxa"/>
            <w:vAlign w:val="bottom"/>
            <w:shd w:val="clear" w:color="auto" w:fill="42B6E9"/>
          </w:tcPr>
          <w:p>
            <w:pPr>
              <w:spacing w:after="0"/>
              <w:rPr>
                <w:sz w:val="14"/>
                <w:szCs w:val="14"/>
                <w:color w:val="auto"/>
              </w:rPr>
            </w:pPr>
          </w:p>
        </w:tc>
        <w:tc>
          <w:tcPr>
            <w:tcW w:w="1260" w:type="dxa"/>
            <w:vAlign w:val="bottom"/>
            <w:shd w:val="clear" w:color="auto" w:fill="42B6E9"/>
          </w:tcPr>
          <w:p>
            <w:pPr>
              <w:spacing w:after="0"/>
              <w:rPr>
                <w:sz w:val="14"/>
                <w:szCs w:val="14"/>
                <w:color w:val="auto"/>
              </w:rPr>
            </w:pPr>
          </w:p>
        </w:tc>
        <w:tc>
          <w:tcPr>
            <w:tcW w:w="152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Awards:</w:t>
            </w:r>
          </w:p>
        </w:tc>
        <w:tc>
          <w:tcPr>
            <w:tcW w:w="1320" w:type="dxa"/>
            <w:vAlign w:val="bottom"/>
            <w:shd w:val="clear" w:color="auto" w:fill="42B6E9"/>
          </w:tcPr>
          <w:p>
            <w:pPr>
              <w:jc w:val="center"/>
              <w:ind w:left="24"/>
              <w:spacing w:after="0"/>
              <w:rPr>
                <w:sz w:val="20"/>
                <w:szCs w:val="20"/>
                <w:color w:val="auto"/>
              </w:rPr>
            </w:pPr>
            <w:r>
              <w:rPr>
                <w:rFonts w:ascii="Arial" w:cs="Arial" w:eastAsia="Arial" w:hAnsi="Arial"/>
                <w:sz w:val="14"/>
                <w:szCs w:val="14"/>
                <w:b w:val="1"/>
                <w:bCs w:val="1"/>
                <w:color w:val="FFFFFF"/>
              </w:rPr>
              <w:t>Grant Date</w:t>
            </w:r>
          </w:p>
        </w:tc>
      </w:tr>
      <w:tr>
        <w:trPr>
          <w:trHeight w:val="162"/>
        </w:trPr>
        <w:tc>
          <w:tcPr>
            <w:tcW w:w="1780" w:type="dxa"/>
            <w:vAlign w:val="bottom"/>
            <w:shd w:val="clear" w:color="auto" w:fill="42B6E9"/>
          </w:tcPr>
          <w:p>
            <w:pPr>
              <w:spacing w:after="0"/>
              <w:rPr>
                <w:sz w:val="14"/>
                <w:szCs w:val="14"/>
                <w:color w:val="auto"/>
              </w:rPr>
            </w:pPr>
          </w:p>
        </w:tc>
        <w:tc>
          <w:tcPr>
            <w:tcW w:w="1340" w:type="dxa"/>
            <w:vAlign w:val="bottom"/>
            <w:shd w:val="clear" w:color="auto" w:fill="42B6E9"/>
          </w:tcPr>
          <w:p>
            <w:pPr>
              <w:spacing w:after="0"/>
              <w:rPr>
                <w:sz w:val="14"/>
                <w:szCs w:val="14"/>
                <w:color w:val="auto"/>
              </w:rPr>
            </w:pPr>
          </w:p>
        </w:tc>
        <w:tc>
          <w:tcPr>
            <w:tcW w:w="1140" w:type="dxa"/>
            <w:vAlign w:val="bottom"/>
            <w:shd w:val="clear" w:color="auto" w:fill="42B6E9"/>
          </w:tcPr>
          <w:p>
            <w:pPr>
              <w:spacing w:after="0"/>
              <w:rPr>
                <w:sz w:val="14"/>
                <w:szCs w:val="14"/>
                <w:color w:val="auto"/>
              </w:rPr>
            </w:pPr>
          </w:p>
        </w:tc>
        <w:tc>
          <w:tcPr>
            <w:tcW w:w="1200" w:type="dxa"/>
            <w:vAlign w:val="bottom"/>
            <w:shd w:val="clear" w:color="auto" w:fill="42B6E9"/>
          </w:tcPr>
          <w:p>
            <w:pPr>
              <w:spacing w:after="0"/>
              <w:rPr>
                <w:sz w:val="14"/>
                <w:szCs w:val="14"/>
                <w:color w:val="auto"/>
              </w:rPr>
            </w:pPr>
          </w:p>
        </w:tc>
        <w:tc>
          <w:tcPr>
            <w:tcW w:w="1260" w:type="dxa"/>
            <w:vAlign w:val="bottom"/>
            <w:shd w:val="clear" w:color="auto" w:fill="42B6E9"/>
          </w:tcPr>
          <w:p>
            <w:pPr>
              <w:spacing w:after="0"/>
              <w:rPr>
                <w:sz w:val="14"/>
                <w:szCs w:val="14"/>
                <w:color w:val="auto"/>
              </w:rPr>
            </w:pPr>
          </w:p>
        </w:tc>
        <w:tc>
          <w:tcPr>
            <w:tcW w:w="152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Number of</w:t>
            </w:r>
          </w:p>
        </w:tc>
        <w:tc>
          <w:tcPr>
            <w:tcW w:w="1320" w:type="dxa"/>
            <w:vAlign w:val="bottom"/>
            <w:shd w:val="clear" w:color="auto" w:fill="42B6E9"/>
          </w:tcPr>
          <w:p>
            <w:pPr>
              <w:jc w:val="center"/>
              <w:ind w:left="24"/>
              <w:spacing w:after="0"/>
              <w:rPr>
                <w:sz w:val="20"/>
                <w:szCs w:val="20"/>
                <w:color w:val="auto"/>
              </w:rPr>
            </w:pPr>
            <w:r>
              <w:rPr>
                <w:rFonts w:ascii="Arial" w:cs="Arial" w:eastAsia="Arial" w:hAnsi="Arial"/>
                <w:sz w:val="14"/>
                <w:szCs w:val="14"/>
                <w:b w:val="1"/>
                <w:bCs w:val="1"/>
                <w:color w:val="FFFFFF"/>
              </w:rPr>
              <w:t>Fair</w:t>
            </w:r>
          </w:p>
        </w:tc>
      </w:tr>
      <w:tr>
        <w:trPr>
          <w:trHeight w:val="162"/>
        </w:trPr>
        <w:tc>
          <w:tcPr>
            <w:tcW w:w="1780" w:type="dxa"/>
            <w:vAlign w:val="bottom"/>
            <w:shd w:val="clear" w:color="auto" w:fill="42B6E9"/>
          </w:tcPr>
          <w:p>
            <w:pPr>
              <w:spacing w:after="0"/>
              <w:rPr>
                <w:sz w:val="14"/>
                <w:szCs w:val="14"/>
                <w:color w:val="auto"/>
              </w:rPr>
            </w:pPr>
          </w:p>
        </w:tc>
        <w:tc>
          <w:tcPr>
            <w:tcW w:w="1340" w:type="dxa"/>
            <w:vAlign w:val="bottom"/>
            <w:shd w:val="clear" w:color="auto" w:fill="42B6E9"/>
          </w:tcPr>
          <w:p>
            <w:pPr>
              <w:spacing w:after="0"/>
              <w:rPr>
                <w:sz w:val="14"/>
                <w:szCs w:val="14"/>
                <w:color w:val="auto"/>
              </w:rPr>
            </w:pPr>
          </w:p>
        </w:tc>
        <w:tc>
          <w:tcPr>
            <w:tcW w:w="1140" w:type="dxa"/>
            <w:vAlign w:val="bottom"/>
            <w:shd w:val="clear" w:color="auto" w:fill="42B6E9"/>
          </w:tcPr>
          <w:p>
            <w:pPr>
              <w:spacing w:after="0"/>
              <w:rPr>
                <w:sz w:val="14"/>
                <w:szCs w:val="14"/>
                <w:color w:val="auto"/>
              </w:rPr>
            </w:pPr>
          </w:p>
        </w:tc>
        <w:tc>
          <w:tcPr>
            <w:tcW w:w="1200" w:type="dxa"/>
            <w:vAlign w:val="bottom"/>
            <w:shd w:val="clear" w:color="auto" w:fill="42B6E9"/>
          </w:tcPr>
          <w:p>
            <w:pPr>
              <w:spacing w:after="0"/>
              <w:rPr>
                <w:sz w:val="14"/>
                <w:szCs w:val="14"/>
                <w:color w:val="auto"/>
              </w:rPr>
            </w:pPr>
          </w:p>
        </w:tc>
        <w:tc>
          <w:tcPr>
            <w:tcW w:w="1260" w:type="dxa"/>
            <w:vAlign w:val="bottom"/>
            <w:shd w:val="clear" w:color="auto" w:fill="42B6E9"/>
          </w:tcPr>
          <w:p>
            <w:pPr>
              <w:spacing w:after="0"/>
              <w:rPr>
                <w:sz w:val="14"/>
                <w:szCs w:val="14"/>
                <w:color w:val="auto"/>
              </w:rPr>
            </w:pPr>
          </w:p>
        </w:tc>
        <w:tc>
          <w:tcPr>
            <w:tcW w:w="152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Shares of Stock</w:t>
            </w:r>
          </w:p>
        </w:tc>
        <w:tc>
          <w:tcPr>
            <w:tcW w:w="1320" w:type="dxa"/>
            <w:vAlign w:val="bottom"/>
            <w:shd w:val="clear" w:color="auto" w:fill="42B6E9"/>
          </w:tcPr>
          <w:p>
            <w:pPr>
              <w:jc w:val="center"/>
              <w:ind w:left="24"/>
              <w:spacing w:after="0"/>
              <w:rPr>
                <w:sz w:val="20"/>
                <w:szCs w:val="20"/>
                <w:color w:val="auto"/>
              </w:rPr>
            </w:pPr>
            <w:r>
              <w:rPr>
                <w:rFonts w:ascii="Arial" w:cs="Arial" w:eastAsia="Arial" w:hAnsi="Arial"/>
                <w:sz w:val="14"/>
                <w:szCs w:val="14"/>
                <w:b w:val="1"/>
                <w:bCs w:val="1"/>
                <w:color w:val="FFFFFF"/>
              </w:rPr>
              <w:t>Value of Stock</w:t>
            </w:r>
          </w:p>
        </w:tc>
      </w:tr>
      <w:tr>
        <w:trPr>
          <w:trHeight w:val="162"/>
        </w:trPr>
        <w:tc>
          <w:tcPr>
            <w:tcW w:w="1780" w:type="dxa"/>
            <w:vAlign w:val="bottom"/>
            <w:shd w:val="clear" w:color="auto" w:fill="42B6E9"/>
          </w:tcPr>
          <w:p>
            <w:pPr>
              <w:spacing w:after="0"/>
              <w:rPr>
                <w:sz w:val="14"/>
                <w:szCs w:val="14"/>
                <w:color w:val="auto"/>
              </w:rPr>
            </w:pPr>
          </w:p>
        </w:tc>
        <w:tc>
          <w:tcPr>
            <w:tcW w:w="1340" w:type="dxa"/>
            <w:vAlign w:val="bottom"/>
            <w:shd w:val="clear" w:color="auto" w:fill="42B6E9"/>
          </w:tcPr>
          <w:p>
            <w:pPr>
              <w:jc w:val="right"/>
              <w:ind w:right="322"/>
              <w:spacing w:after="0"/>
              <w:rPr>
                <w:sz w:val="20"/>
                <w:szCs w:val="20"/>
                <w:color w:val="auto"/>
              </w:rPr>
            </w:pPr>
            <w:r>
              <w:rPr>
                <w:rFonts w:ascii="Arial" w:cs="Arial" w:eastAsia="Arial" w:hAnsi="Arial"/>
                <w:sz w:val="14"/>
                <w:szCs w:val="14"/>
                <w:b w:val="1"/>
                <w:bCs w:val="1"/>
                <w:color w:val="FFFFFF"/>
              </w:rPr>
              <w:t>Grant</w:t>
            </w:r>
          </w:p>
        </w:tc>
        <w:tc>
          <w:tcPr>
            <w:tcW w:w="1140" w:type="dxa"/>
            <w:vAlign w:val="bottom"/>
            <w:shd w:val="clear" w:color="auto" w:fill="42B6E9"/>
          </w:tcPr>
          <w:p>
            <w:pPr>
              <w:jc w:val="right"/>
              <w:ind w:right="202"/>
              <w:spacing w:after="0"/>
              <w:rPr>
                <w:sz w:val="20"/>
                <w:szCs w:val="20"/>
                <w:color w:val="auto"/>
              </w:rPr>
            </w:pPr>
            <w:r>
              <w:rPr>
                <w:rFonts w:ascii="Arial" w:cs="Arial" w:eastAsia="Arial" w:hAnsi="Arial"/>
                <w:sz w:val="14"/>
                <w:szCs w:val="14"/>
                <w:b w:val="1"/>
                <w:bCs w:val="1"/>
                <w:color w:val="FFFFFF"/>
              </w:rPr>
              <w:t>Approval</w:t>
            </w:r>
          </w:p>
        </w:tc>
        <w:tc>
          <w:tcPr>
            <w:tcW w:w="1200" w:type="dxa"/>
            <w:vAlign w:val="bottom"/>
            <w:shd w:val="clear" w:color="auto" w:fill="42B6E9"/>
          </w:tcPr>
          <w:p>
            <w:pPr>
              <w:jc w:val="right"/>
              <w:ind w:right="204"/>
              <w:spacing w:after="0"/>
              <w:rPr>
                <w:sz w:val="20"/>
                <w:szCs w:val="20"/>
                <w:color w:val="auto"/>
              </w:rPr>
            </w:pPr>
            <w:r>
              <w:rPr>
                <w:rFonts w:ascii="Arial" w:cs="Arial" w:eastAsia="Arial" w:hAnsi="Arial"/>
                <w:sz w:val="14"/>
                <w:szCs w:val="14"/>
                <w:b w:val="1"/>
                <w:bCs w:val="1"/>
                <w:color w:val="FFFFFF"/>
              </w:rPr>
              <w:t>Threshold</w:t>
            </w:r>
          </w:p>
        </w:tc>
        <w:tc>
          <w:tcPr>
            <w:tcW w:w="1260" w:type="dxa"/>
            <w:vAlign w:val="bottom"/>
            <w:shd w:val="clear" w:color="auto" w:fill="42B6E9"/>
          </w:tcPr>
          <w:p>
            <w:pPr>
              <w:jc w:val="right"/>
              <w:ind w:right="362"/>
              <w:spacing w:after="0"/>
              <w:rPr>
                <w:sz w:val="20"/>
                <w:szCs w:val="20"/>
                <w:color w:val="auto"/>
              </w:rPr>
            </w:pPr>
            <w:r>
              <w:rPr>
                <w:rFonts w:ascii="Arial" w:cs="Arial" w:eastAsia="Arial" w:hAnsi="Arial"/>
                <w:sz w:val="14"/>
                <w:szCs w:val="14"/>
                <w:b w:val="1"/>
                <w:bCs w:val="1"/>
                <w:color w:val="FFFFFF"/>
              </w:rPr>
              <w:t>Target</w:t>
            </w:r>
          </w:p>
        </w:tc>
        <w:tc>
          <w:tcPr>
            <w:tcW w:w="152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or Units</w:t>
            </w:r>
          </w:p>
        </w:tc>
        <w:tc>
          <w:tcPr>
            <w:tcW w:w="132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w w:val="98"/>
              </w:rPr>
              <w:t>Awards</w:t>
            </w:r>
          </w:p>
        </w:tc>
      </w:tr>
      <w:tr>
        <w:trPr>
          <w:trHeight w:val="190"/>
        </w:trPr>
        <w:tc>
          <w:tcPr>
            <w:tcW w:w="1780" w:type="dxa"/>
            <w:vAlign w:val="bottom"/>
            <w:shd w:val="clear" w:color="auto" w:fill="42B6E9"/>
          </w:tcPr>
          <w:p>
            <w:pPr>
              <w:ind w:left="80"/>
              <w:spacing w:after="0"/>
              <w:rPr>
                <w:sz w:val="20"/>
                <w:szCs w:val="20"/>
                <w:color w:val="auto"/>
              </w:rPr>
            </w:pPr>
            <w:r>
              <w:rPr>
                <w:rFonts w:ascii="Arial" w:cs="Arial" w:eastAsia="Arial" w:hAnsi="Arial"/>
                <w:sz w:val="14"/>
                <w:szCs w:val="14"/>
                <w:b w:val="1"/>
                <w:bCs w:val="1"/>
                <w:color w:val="FFFFFF"/>
              </w:rPr>
              <w:t>Name</w:t>
            </w:r>
          </w:p>
        </w:tc>
        <w:tc>
          <w:tcPr>
            <w:tcW w:w="1340" w:type="dxa"/>
            <w:vAlign w:val="bottom"/>
            <w:shd w:val="clear" w:color="auto" w:fill="42B6E9"/>
          </w:tcPr>
          <w:p>
            <w:pPr>
              <w:jc w:val="right"/>
              <w:ind w:right="342"/>
              <w:spacing w:after="0"/>
              <w:rPr>
                <w:sz w:val="20"/>
                <w:szCs w:val="20"/>
                <w:color w:val="auto"/>
              </w:rPr>
            </w:pPr>
            <w:r>
              <w:rPr>
                <w:rFonts w:ascii="Arial" w:cs="Arial" w:eastAsia="Arial" w:hAnsi="Arial"/>
                <w:sz w:val="14"/>
                <w:szCs w:val="14"/>
                <w:b w:val="1"/>
                <w:bCs w:val="1"/>
                <w:color w:val="FFFFFF"/>
              </w:rPr>
              <w:t>Date</w:t>
            </w:r>
          </w:p>
        </w:tc>
        <w:tc>
          <w:tcPr>
            <w:tcW w:w="1140" w:type="dxa"/>
            <w:vAlign w:val="bottom"/>
            <w:shd w:val="clear" w:color="auto" w:fill="42B6E9"/>
          </w:tcPr>
          <w:p>
            <w:pPr>
              <w:jc w:val="right"/>
              <w:ind w:right="342"/>
              <w:spacing w:after="0"/>
              <w:rPr>
                <w:sz w:val="20"/>
                <w:szCs w:val="20"/>
                <w:color w:val="auto"/>
              </w:rPr>
            </w:pPr>
            <w:r>
              <w:rPr>
                <w:rFonts w:ascii="Arial" w:cs="Arial" w:eastAsia="Arial" w:hAnsi="Arial"/>
                <w:sz w:val="14"/>
                <w:szCs w:val="14"/>
                <w:b w:val="1"/>
                <w:bCs w:val="1"/>
                <w:color w:val="FFFFFF"/>
              </w:rPr>
              <w:t>Date</w:t>
            </w:r>
          </w:p>
        </w:tc>
        <w:tc>
          <w:tcPr>
            <w:tcW w:w="1200" w:type="dxa"/>
            <w:vAlign w:val="bottom"/>
            <w:shd w:val="clear" w:color="auto" w:fill="42B6E9"/>
          </w:tcPr>
          <w:p>
            <w:pPr>
              <w:jc w:val="right"/>
              <w:ind w:right="444"/>
              <w:spacing w:after="0"/>
              <w:rPr>
                <w:sz w:val="20"/>
                <w:szCs w:val="20"/>
                <w:color w:val="auto"/>
              </w:rPr>
            </w:pPr>
            <w:r>
              <w:rPr>
                <w:rFonts w:ascii="Arial" w:cs="Arial" w:eastAsia="Arial" w:hAnsi="Arial"/>
                <w:sz w:val="14"/>
                <w:szCs w:val="14"/>
                <w:b w:val="1"/>
                <w:bCs w:val="1"/>
                <w:color w:val="FFFFFF"/>
              </w:rPr>
              <w:t>(#)</w:t>
            </w:r>
          </w:p>
        </w:tc>
        <w:tc>
          <w:tcPr>
            <w:tcW w:w="1260" w:type="dxa"/>
            <w:vAlign w:val="bottom"/>
            <w:shd w:val="clear" w:color="auto" w:fill="42B6E9"/>
          </w:tcPr>
          <w:p>
            <w:pPr>
              <w:jc w:val="right"/>
              <w:ind w:right="462"/>
              <w:spacing w:after="0"/>
              <w:rPr>
                <w:sz w:val="20"/>
                <w:szCs w:val="20"/>
                <w:color w:val="auto"/>
              </w:rPr>
            </w:pPr>
            <w:r>
              <w:rPr>
                <w:rFonts w:ascii="Arial" w:cs="Arial" w:eastAsia="Arial" w:hAnsi="Arial"/>
                <w:sz w:val="14"/>
                <w:szCs w:val="14"/>
                <w:b w:val="1"/>
                <w:bCs w:val="1"/>
                <w:color w:val="FFFFFF"/>
              </w:rPr>
              <w:t>(#)</w:t>
            </w:r>
          </w:p>
        </w:tc>
        <w:tc>
          <w:tcPr>
            <w:tcW w:w="152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w:t>
            </w:r>
          </w:p>
        </w:tc>
        <w:tc>
          <w:tcPr>
            <w:tcW w:w="1320" w:type="dxa"/>
            <w:vAlign w:val="bottom"/>
            <w:shd w:val="clear" w:color="auto" w:fill="42B6E9"/>
          </w:tcPr>
          <w:p>
            <w:pPr>
              <w:jc w:val="center"/>
              <w:ind w:left="24"/>
              <w:spacing w:after="0"/>
              <w:rPr>
                <w:sz w:val="20"/>
                <w:szCs w:val="20"/>
                <w:color w:val="auto"/>
              </w:rPr>
            </w:pPr>
            <w:r>
              <w:rPr>
                <w:rFonts w:ascii="Arial" w:cs="Arial" w:eastAsia="Arial" w:hAnsi="Arial"/>
                <w:sz w:val="14"/>
                <w:szCs w:val="14"/>
                <w:b w:val="1"/>
                <w:bCs w:val="1"/>
                <w:color w:val="FFFFFF"/>
              </w:rPr>
              <w:t>($)</w:t>
            </w:r>
          </w:p>
        </w:tc>
      </w:tr>
      <w:tr>
        <w:trPr>
          <w:trHeight w:val="80"/>
        </w:trPr>
        <w:tc>
          <w:tcPr>
            <w:tcW w:w="1780" w:type="dxa"/>
            <w:vAlign w:val="bottom"/>
            <w:shd w:val="clear" w:color="auto" w:fill="42B6E9"/>
          </w:tcPr>
          <w:p>
            <w:pPr>
              <w:spacing w:after="0"/>
              <w:rPr>
                <w:sz w:val="6"/>
                <w:szCs w:val="6"/>
                <w:color w:val="auto"/>
              </w:rPr>
            </w:pPr>
          </w:p>
        </w:tc>
        <w:tc>
          <w:tcPr>
            <w:tcW w:w="1340" w:type="dxa"/>
            <w:vAlign w:val="bottom"/>
            <w:shd w:val="clear" w:color="auto" w:fill="42B6E9"/>
          </w:tcPr>
          <w:p>
            <w:pPr>
              <w:spacing w:after="0"/>
              <w:rPr>
                <w:sz w:val="6"/>
                <w:szCs w:val="6"/>
                <w:color w:val="auto"/>
              </w:rPr>
            </w:pPr>
          </w:p>
        </w:tc>
        <w:tc>
          <w:tcPr>
            <w:tcW w:w="1140" w:type="dxa"/>
            <w:vAlign w:val="bottom"/>
            <w:shd w:val="clear" w:color="auto" w:fill="42B6E9"/>
          </w:tcPr>
          <w:p>
            <w:pPr>
              <w:spacing w:after="0"/>
              <w:rPr>
                <w:sz w:val="6"/>
                <w:szCs w:val="6"/>
                <w:color w:val="auto"/>
              </w:rPr>
            </w:pPr>
          </w:p>
        </w:tc>
        <w:tc>
          <w:tcPr>
            <w:tcW w:w="1200" w:type="dxa"/>
            <w:vAlign w:val="bottom"/>
            <w:shd w:val="clear" w:color="auto" w:fill="42B6E9"/>
          </w:tcPr>
          <w:p>
            <w:pPr>
              <w:spacing w:after="0"/>
              <w:rPr>
                <w:sz w:val="6"/>
                <w:szCs w:val="6"/>
                <w:color w:val="auto"/>
              </w:rPr>
            </w:pPr>
          </w:p>
        </w:tc>
        <w:tc>
          <w:tcPr>
            <w:tcW w:w="1260" w:type="dxa"/>
            <w:vAlign w:val="bottom"/>
            <w:shd w:val="clear" w:color="auto" w:fill="42B6E9"/>
          </w:tcPr>
          <w:p>
            <w:pPr>
              <w:spacing w:after="0"/>
              <w:rPr>
                <w:sz w:val="6"/>
                <w:szCs w:val="6"/>
                <w:color w:val="auto"/>
              </w:rPr>
            </w:pPr>
          </w:p>
        </w:tc>
        <w:tc>
          <w:tcPr>
            <w:tcW w:w="1520" w:type="dxa"/>
            <w:vAlign w:val="bottom"/>
            <w:shd w:val="clear" w:color="auto" w:fill="42B6E9"/>
          </w:tcPr>
          <w:p>
            <w:pPr>
              <w:spacing w:after="0"/>
              <w:rPr>
                <w:sz w:val="6"/>
                <w:szCs w:val="6"/>
                <w:color w:val="auto"/>
              </w:rPr>
            </w:pPr>
          </w:p>
        </w:tc>
        <w:tc>
          <w:tcPr>
            <w:tcW w:w="1320" w:type="dxa"/>
            <w:vAlign w:val="bottom"/>
            <w:shd w:val="clear" w:color="auto" w:fill="42B6E9"/>
          </w:tcPr>
          <w:p>
            <w:pPr>
              <w:spacing w:after="0"/>
              <w:rPr>
                <w:sz w:val="6"/>
                <w:szCs w:val="6"/>
                <w:color w:val="auto"/>
              </w:rPr>
            </w:pPr>
          </w:p>
        </w:tc>
      </w:tr>
      <w:tr>
        <w:trPr>
          <w:trHeight w:val="378"/>
        </w:trPr>
        <w:tc>
          <w:tcPr>
            <w:tcW w:w="1780" w:type="dxa"/>
            <w:vAlign w:val="bottom"/>
            <w:shd w:val="clear" w:color="auto" w:fill="E9F8FD"/>
          </w:tcPr>
          <w:p>
            <w:pPr>
              <w:ind w:left="80"/>
              <w:spacing w:after="0"/>
              <w:rPr>
                <w:sz w:val="20"/>
                <w:szCs w:val="20"/>
                <w:color w:val="auto"/>
              </w:rPr>
            </w:pPr>
            <w:r>
              <w:rPr>
                <w:rFonts w:ascii="Arial" w:cs="Arial" w:eastAsia="Arial" w:hAnsi="Arial"/>
                <w:sz w:val="16"/>
                <w:szCs w:val="16"/>
                <w:color w:val="42B6E9"/>
              </w:rPr>
              <w:t>Piotr Szulczewski</w:t>
            </w:r>
          </w:p>
        </w:tc>
        <w:tc>
          <w:tcPr>
            <w:tcW w:w="1340" w:type="dxa"/>
            <w:vAlign w:val="bottom"/>
            <w:shd w:val="clear" w:color="auto" w:fill="E9F8FD"/>
          </w:tcPr>
          <w:p>
            <w:pPr>
              <w:jc w:val="right"/>
              <w:ind w:right="142"/>
              <w:spacing w:after="0"/>
              <w:rPr>
                <w:sz w:val="20"/>
                <w:szCs w:val="20"/>
                <w:color w:val="auto"/>
              </w:rPr>
            </w:pPr>
            <w:r>
              <w:rPr>
                <w:rFonts w:ascii="Arial" w:cs="Arial" w:eastAsia="Arial" w:hAnsi="Arial"/>
                <w:sz w:val="16"/>
                <w:szCs w:val="16"/>
                <w:color w:val="42B6E9"/>
              </w:rPr>
              <w:t>12/7/2020</w:t>
            </w:r>
          </w:p>
        </w:tc>
        <w:tc>
          <w:tcPr>
            <w:tcW w:w="1140" w:type="dxa"/>
            <w:vAlign w:val="bottom"/>
            <w:shd w:val="clear" w:color="auto" w:fill="E9F8FD"/>
          </w:tcPr>
          <w:p>
            <w:pPr>
              <w:jc w:val="right"/>
              <w:ind w:right="142"/>
              <w:spacing w:after="0"/>
              <w:rPr>
                <w:sz w:val="20"/>
                <w:szCs w:val="20"/>
                <w:color w:val="auto"/>
              </w:rPr>
            </w:pPr>
            <w:r>
              <w:rPr>
                <w:rFonts w:ascii="Arial" w:cs="Arial" w:eastAsia="Arial" w:hAnsi="Arial"/>
                <w:sz w:val="16"/>
                <w:szCs w:val="16"/>
                <w:color w:val="42B6E9"/>
              </w:rPr>
              <w:t>12/4/2020</w:t>
            </w:r>
          </w:p>
        </w:tc>
        <w:tc>
          <w:tcPr>
            <w:tcW w:w="1200" w:type="dxa"/>
            <w:vAlign w:val="bottom"/>
            <w:shd w:val="clear" w:color="auto" w:fill="E9F8FD"/>
          </w:tcPr>
          <w:p>
            <w:pPr>
              <w:jc w:val="right"/>
              <w:ind w:right="164"/>
              <w:spacing w:after="0"/>
              <w:rPr>
                <w:sz w:val="20"/>
                <w:szCs w:val="20"/>
                <w:color w:val="auto"/>
              </w:rPr>
            </w:pPr>
            <w:r>
              <w:rPr>
                <w:rFonts w:ascii="Arial" w:cs="Arial" w:eastAsia="Arial" w:hAnsi="Arial"/>
                <w:sz w:val="16"/>
                <w:szCs w:val="16"/>
                <w:color w:val="42B6E9"/>
              </w:rPr>
              <w:t>1,002,150</w:t>
            </w:r>
          </w:p>
        </w:tc>
        <w:tc>
          <w:tcPr>
            <w:tcW w:w="1260" w:type="dxa"/>
            <w:vAlign w:val="bottom"/>
            <w:shd w:val="clear" w:color="auto" w:fill="E9F8FD"/>
          </w:tcPr>
          <w:p>
            <w:pPr>
              <w:jc w:val="right"/>
              <w:ind w:right="142"/>
              <w:spacing w:after="0"/>
              <w:rPr>
                <w:sz w:val="20"/>
                <w:szCs w:val="20"/>
                <w:color w:val="auto"/>
              </w:rPr>
            </w:pPr>
            <w:r>
              <w:rPr>
                <w:rFonts w:ascii="Arial" w:cs="Arial" w:eastAsia="Arial" w:hAnsi="Arial"/>
                <w:sz w:val="16"/>
                <w:szCs w:val="16"/>
                <w:color w:val="42B6E9"/>
              </w:rPr>
              <w:t>10,021,500</w:t>
            </w:r>
          </w:p>
        </w:tc>
        <w:tc>
          <w:tcPr>
            <w:tcW w:w="1520" w:type="dxa"/>
            <w:vAlign w:val="bottom"/>
            <w:shd w:val="clear" w:color="auto" w:fill="E9F8FD"/>
          </w:tcPr>
          <w:p>
            <w:pPr>
              <w:jc w:val="center"/>
              <w:spacing w:after="0"/>
              <w:rPr>
                <w:sz w:val="20"/>
                <w:szCs w:val="20"/>
                <w:color w:val="auto"/>
              </w:rPr>
            </w:pPr>
            <w:r>
              <w:rPr>
                <w:rFonts w:ascii="Arial" w:cs="Arial" w:eastAsia="Arial" w:hAnsi="Arial"/>
                <w:sz w:val="16"/>
                <w:szCs w:val="16"/>
                <w:color w:val="42B6E9"/>
                <w:w w:val="99"/>
              </w:rPr>
              <w:t>—</w:t>
            </w:r>
          </w:p>
        </w:tc>
        <w:tc>
          <w:tcPr>
            <w:tcW w:w="1320" w:type="dxa"/>
            <w:vAlign w:val="bottom"/>
            <w:shd w:val="clear" w:color="auto" w:fill="E9F8FD"/>
          </w:tcPr>
          <w:p>
            <w:pPr>
              <w:jc w:val="center"/>
              <w:ind w:left="24"/>
              <w:spacing w:after="0"/>
              <w:rPr>
                <w:sz w:val="20"/>
                <w:szCs w:val="20"/>
                <w:color w:val="auto"/>
              </w:rPr>
            </w:pPr>
            <w:r>
              <w:rPr>
                <w:rFonts w:ascii="Arial" w:cs="Arial" w:eastAsia="Arial" w:hAnsi="Arial"/>
                <w:sz w:val="16"/>
                <w:szCs w:val="16"/>
                <w:color w:val="42B6E9"/>
                <w:w w:val="96"/>
              </w:rPr>
              <w:t>77,741,786</w:t>
            </w:r>
            <w:r>
              <w:rPr>
                <w:rFonts w:ascii="Arial" w:cs="Arial" w:eastAsia="Arial" w:hAnsi="Arial"/>
                <w:sz w:val="26"/>
                <w:szCs w:val="26"/>
                <w:color w:val="42B6E9"/>
                <w:w w:val="96"/>
                <w:vertAlign w:val="superscript"/>
              </w:rPr>
              <w:t>(2)</w:t>
            </w:r>
          </w:p>
        </w:tc>
      </w:tr>
      <w:tr>
        <w:trPr>
          <w:trHeight w:val="378"/>
        </w:trPr>
        <w:tc>
          <w:tcPr>
            <w:tcW w:w="1780" w:type="dxa"/>
            <w:vAlign w:val="bottom"/>
            <w:shd w:val="clear" w:color="auto" w:fill="E9F8FD"/>
          </w:tcPr>
          <w:p>
            <w:pPr>
              <w:ind w:left="80"/>
              <w:spacing w:after="0"/>
              <w:rPr>
                <w:sz w:val="20"/>
                <w:szCs w:val="20"/>
                <w:color w:val="auto"/>
              </w:rPr>
            </w:pPr>
            <w:r>
              <w:rPr>
                <w:rFonts w:ascii="Arial" w:cs="Arial" w:eastAsia="Arial" w:hAnsi="Arial"/>
                <w:sz w:val="16"/>
                <w:szCs w:val="16"/>
                <w:color w:val="42B6E9"/>
              </w:rPr>
              <w:t>Rajat Bahri</w:t>
            </w:r>
          </w:p>
        </w:tc>
        <w:tc>
          <w:tcPr>
            <w:tcW w:w="1340" w:type="dxa"/>
            <w:vAlign w:val="bottom"/>
            <w:shd w:val="clear" w:color="auto" w:fill="E9F8FD"/>
          </w:tcPr>
          <w:p>
            <w:pPr>
              <w:jc w:val="right"/>
              <w:ind w:right="142"/>
              <w:spacing w:after="0"/>
              <w:rPr>
                <w:sz w:val="20"/>
                <w:szCs w:val="20"/>
                <w:color w:val="auto"/>
              </w:rPr>
            </w:pPr>
            <w:r>
              <w:rPr>
                <w:rFonts w:ascii="Arial" w:cs="Arial" w:eastAsia="Arial" w:hAnsi="Arial"/>
                <w:sz w:val="16"/>
                <w:szCs w:val="16"/>
                <w:color w:val="42B6E9"/>
              </w:rPr>
              <w:t>9/9/2020</w:t>
            </w:r>
          </w:p>
        </w:tc>
        <w:tc>
          <w:tcPr>
            <w:tcW w:w="1140" w:type="dxa"/>
            <w:vAlign w:val="bottom"/>
            <w:shd w:val="clear" w:color="auto" w:fill="E9F8FD"/>
          </w:tcPr>
          <w:p>
            <w:pPr>
              <w:jc w:val="right"/>
              <w:ind w:right="142"/>
              <w:spacing w:after="0"/>
              <w:rPr>
                <w:sz w:val="20"/>
                <w:szCs w:val="20"/>
                <w:color w:val="auto"/>
              </w:rPr>
            </w:pPr>
            <w:r>
              <w:rPr>
                <w:rFonts w:ascii="Arial" w:cs="Arial" w:eastAsia="Arial" w:hAnsi="Arial"/>
                <w:sz w:val="16"/>
                <w:szCs w:val="16"/>
                <w:color w:val="42B6E9"/>
              </w:rPr>
              <w:t>9/9/2020</w:t>
            </w:r>
          </w:p>
        </w:tc>
        <w:tc>
          <w:tcPr>
            <w:tcW w:w="1200" w:type="dxa"/>
            <w:vAlign w:val="bottom"/>
            <w:shd w:val="clear" w:color="auto" w:fill="E9F8FD"/>
          </w:tcPr>
          <w:p>
            <w:pPr>
              <w:jc w:val="right"/>
              <w:ind w:right="164"/>
              <w:spacing w:after="0"/>
              <w:rPr>
                <w:sz w:val="20"/>
                <w:szCs w:val="20"/>
                <w:color w:val="auto"/>
              </w:rPr>
            </w:pPr>
            <w:r>
              <w:rPr>
                <w:rFonts w:ascii="Arial" w:cs="Arial" w:eastAsia="Arial" w:hAnsi="Arial"/>
                <w:sz w:val="16"/>
                <w:szCs w:val="16"/>
                <w:color w:val="42B6E9"/>
              </w:rPr>
              <w:t>—</w:t>
            </w:r>
          </w:p>
        </w:tc>
        <w:tc>
          <w:tcPr>
            <w:tcW w:w="1260" w:type="dxa"/>
            <w:vAlign w:val="bottom"/>
            <w:shd w:val="clear" w:color="auto" w:fill="E9F8FD"/>
          </w:tcPr>
          <w:p>
            <w:pPr>
              <w:jc w:val="right"/>
              <w:ind w:right="142"/>
              <w:spacing w:after="0"/>
              <w:rPr>
                <w:sz w:val="20"/>
                <w:szCs w:val="20"/>
                <w:color w:val="auto"/>
              </w:rPr>
            </w:pPr>
            <w:r>
              <w:rPr>
                <w:rFonts w:ascii="Arial" w:cs="Arial" w:eastAsia="Arial" w:hAnsi="Arial"/>
                <w:sz w:val="16"/>
                <w:szCs w:val="16"/>
                <w:color w:val="42B6E9"/>
              </w:rPr>
              <w:t>—</w:t>
            </w:r>
          </w:p>
        </w:tc>
        <w:tc>
          <w:tcPr>
            <w:tcW w:w="1520" w:type="dxa"/>
            <w:vAlign w:val="bottom"/>
            <w:shd w:val="clear" w:color="auto" w:fill="E9F8FD"/>
          </w:tcPr>
          <w:p>
            <w:pPr>
              <w:jc w:val="center"/>
              <w:spacing w:after="0"/>
              <w:rPr>
                <w:sz w:val="20"/>
                <w:szCs w:val="20"/>
                <w:color w:val="auto"/>
              </w:rPr>
            </w:pPr>
            <w:r>
              <w:rPr>
                <w:rFonts w:ascii="Arial" w:cs="Arial" w:eastAsia="Arial" w:hAnsi="Arial"/>
                <w:sz w:val="16"/>
                <w:szCs w:val="16"/>
                <w:color w:val="42B6E9"/>
                <w:w w:val="96"/>
              </w:rPr>
              <w:t>250,000</w:t>
            </w:r>
            <w:r>
              <w:rPr>
                <w:rFonts w:ascii="Arial" w:cs="Arial" w:eastAsia="Arial" w:hAnsi="Arial"/>
                <w:sz w:val="26"/>
                <w:szCs w:val="26"/>
                <w:color w:val="42B6E9"/>
                <w:w w:val="96"/>
                <w:vertAlign w:val="superscript"/>
              </w:rPr>
              <w:t>(3)</w:t>
            </w:r>
          </w:p>
        </w:tc>
        <w:tc>
          <w:tcPr>
            <w:tcW w:w="1320" w:type="dxa"/>
            <w:vAlign w:val="bottom"/>
            <w:shd w:val="clear" w:color="auto" w:fill="E9F8FD"/>
          </w:tcPr>
          <w:p>
            <w:pPr>
              <w:jc w:val="center"/>
              <w:ind w:left="24"/>
              <w:spacing w:after="0"/>
              <w:rPr>
                <w:sz w:val="20"/>
                <w:szCs w:val="20"/>
                <w:color w:val="auto"/>
              </w:rPr>
            </w:pPr>
            <w:r>
              <w:rPr>
                <w:rFonts w:ascii="Arial" w:cs="Arial" w:eastAsia="Arial" w:hAnsi="Arial"/>
                <w:sz w:val="16"/>
                <w:szCs w:val="16"/>
                <w:color w:val="42B6E9"/>
                <w:w w:val="97"/>
              </w:rPr>
              <w:t>4,092,250</w:t>
            </w:r>
            <w:r>
              <w:rPr>
                <w:rFonts w:ascii="Arial" w:cs="Arial" w:eastAsia="Arial" w:hAnsi="Arial"/>
                <w:sz w:val="26"/>
                <w:szCs w:val="26"/>
                <w:color w:val="42B6E9"/>
                <w:w w:val="97"/>
                <w:vertAlign w:val="superscript"/>
              </w:rPr>
              <w:t>(4)</w:t>
            </w:r>
          </w:p>
        </w:tc>
      </w:tr>
      <w:tr>
        <w:trPr>
          <w:trHeight w:val="378"/>
        </w:trPr>
        <w:tc>
          <w:tcPr>
            <w:tcW w:w="1780" w:type="dxa"/>
            <w:vAlign w:val="bottom"/>
            <w:shd w:val="clear" w:color="auto" w:fill="E9F8FD"/>
          </w:tcPr>
          <w:p>
            <w:pPr>
              <w:ind w:left="80"/>
              <w:spacing w:after="0"/>
              <w:rPr>
                <w:sz w:val="20"/>
                <w:szCs w:val="20"/>
                <w:color w:val="auto"/>
              </w:rPr>
            </w:pPr>
            <w:r>
              <w:rPr>
                <w:rFonts w:ascii="Arial" w:cs="Arial" w:eastAsia="Arial" w:hAnsi="Arial"/>
                <w:sz w:val="16"/>
                <w:szCs w:val="16"/>
                <w:color w:val="42B6E9"/>
              </w:rPr>
              <w:t>Devang Shah</w:t>
            </w:r>
          </w:p>
        </w:tc>
        <w:tc>
          <w:tcPr>
            <w:tcW w:w="1340" w:type="dxa"/>
            <w:vAlign w:val="bottom"/>
            <w:shd w:val="clear" w:color="auto" w:fill="E9F8FD"/>
          </w:tcPr>
          <w:p>
            <w:pPr>
              <w:jc w:val="right"/>
              <w:ind w:right="142"/>
              <w:spacing w:after="0"/>
              <w:rPr>
                <w:sz w:val="20"/>
                <w:szCs w:val="20"/>
                <w:color w:val="auto"/>
              </w:rPr>
            </w:pPr>
            <w:r>
              <w:rPr>
                <w:rFonts w:ascii="Arial" w:cs="Arial" w:eastAsia="Arial" w:hAnsi="Arial"/>
                <w:sz w:val="16"/>
                <w:szCs w:val="16"/>
                <w:color w:val="42B6E9"/>
              </w:rPr>
              <w:t>9/9/2020</w:t>
            </w:r>
          </w:p>
        </w:tc>
        <w:tc>
          <w:tcPr>
            <w:tcW w:w="1140" w:type="dxa"/>
            <w:vAlign w:val="bottom"/>
            <w:shd w:val="clear" w:color="auto" w:fill="E9F8FD"/>
          </w:tcPr>
          <w:p>
            <w:pPr>
              <w:jc w:val="right"/>
              <w:ind w:right="142"/>
              <w:spacing w:after="0"/>
              <w:rPr>
                <w:sz w:val="20"/>
                <w:szCs w:val="20"/>
                <w:color w:val="auto"/>
              </w:rPr>
            </w:pPr>
            <w:r>
              <w:rPr>
                <w:rFonts w:ascii="Arial" w:cs="Arial" w:eastAsia="Arial" w:hAnsi="Arial"/>
                <w:sz w:val="16"/>
                <w:szCs w:val="16"/>
                <w:color w:val="42B6E9"/>
              </w:rPr>
              <w:t>9/9/2020</w:t>
            </w:r>
          </w:p>
        </w:tc>
        <w:tc>
          <w:tcPr>
            <w:tcW w:w="1200" w:type="dxa"/>
            <w:vAlign w:val="bottom"/>
            <w:shd w:val="clear" w:color="auto" w:fill="E9F8FD"/>
          </w:tcPr>
          <w:p>
            <w:pPr>
              <w:jc w:val="right"/>
              <w:ind w:right="164"/>
              <w:spacing w:after="0"/>
              <w:rPr>
                <w:sz w:val="20"/>
                <w:szCs w:val="20"/>
                <w:color w:val="auto"/>
              </w:rPr>
            </w:pPr>
            <w:r>
              <w:rPr>
                <w:rFonts w:ascii="Arial" w:cs="Arial" w:eastAsia="Arial" w:hAnsi="Arial"/>
                <w:sz w:val="16"/>
                <w:szCs w:val="16"/>
                <w:color w:val="42B6E9"/>
              </w:rPr>
              <w:t>—</w:t>
            </w:r>
          </w:p>
        </w:tc>
        <w:tc>
          <w:tcPr>
            <w:tcW w:w="1260" w:type="dxa"/>
            <w:vAlign w:val="bottom"/>
            <w:shd w:val="clear" w:color="auto" w:fill="E9F8FD"/>
          </w:tcPr>
          <w:p>
            <w:pPr>
              <w:jc w:val="right"/>
              <w:ind w:right="142"/>
              <w:spacing w:after="0"/>
              <w:rPr>
                <w:sz w:val="20"/>
                <w:szCs w:val="20"/>
                <w:color w:val="auto"/>
              </w:rPr>
            </w:pPr>
            <w:r>
              <w:rPr>
                <w:rFonts w:ascii="Arial" w:cs="Arial" w:eastAsia="Arial" w:hAnsi="Arial"/>
                <w:sz w:val="16"/>
                <w:szCs w:val="16"/>
                <w:color w:val="42B6E9"/>
              </w:rPr>
              <w:t>—</w:t>
            </w:r>
          </w:p>
        </w:tc>
        <w:tc>
          <w:tcPr>
            <w:tcW w:w="1520" w:type="dxa"/>
            <w:vAlign w:val="bottom"/>
            <w:shd w:val="clear" w:color="auto" w:fill="E9F8FD"/>
          </w:tcPr>
          <w:p>
            <w:pPr>
              <w:jc w:val="center"/>
              <w:spacing w:after="0"/>
              <w:rPr>
                <w:sz w:val="20"/>
                <w:szCs w:val="20"/>
                <w:color w:val="auto"/>
              </w:rPr>
            </w:pPr>
            <w:r>
              <w:rPr>
                <w:rFonts w:ascii="Arial" w:cs="Arial" w:eastAsia="Arial" w:hAnsi="Arial"/>
                <w:sz w:val="16"/>
                <w:szCs w:val="16"/>
                <w:color w:val="42B6E9"/>
                <w:w w:val="96"/>
              </w:rPr>
              <w:t>250,000</w:t>
            </w:r>
            <w:r>
              <w:rPr>
                <w:rFonts w:ascii="Arial" w:cs="Arial" w:eastAsia="Arial" w:hAnsi="Arial"/>
                <w:sz w:val="26"/>
                <w:szCs w:val="26"/>
                <w:color w:val="42B6E9"/>
                <w:w w:val="96"/>
                <w:vertAlign w:val="superscript"/>
              </w:rPr>
              <w:t>(3)</w:t>
            </w:r>
          </w:p>
        </w:tc>
        <w:tc>
          <w:tcPr>
            <w:tcW w:w="1320" w:type="dxa"/>
            <w:vAlign w:val="bottom"/>
            <w:shd w:val="clear" w:color="auto" w:fill="E9F8FD"/>
          </w:tcPr>
          <w:p>
            <w:pPr>
              <w:jc w:val="center"/>
              <w:ind w:left="24"/>
              <w:spacing w:after="0"/>
              <w:rPr>
                <w:sz w:val="20"/>
                <w:szCs w:val="20"/>
                <w:color w:val="auto"/>
              </w:rPr>
            </w:pPr>
            <w:r>
              <w:rPr>
                <w:rFonts w:ascii="Arial" w:cs="Arial" w:eastAsia="Arial" w:hAnsi="Arial"/>
                <w:sz w:val="16"/>
                <w:szCs w:val="16"/>
                <w:color w:val="42B6E9"/>
                <w:w w:val="97"/>
              </w:rPr>
              <w:t>4,092,250</w:t>
            </w:r>
            <w:r>
              <w:rPr>
                <w:rFonts w:ascii="Arial" w:cs="Arial" w:eastAsia="Arial" w:hAnsi="Arial"/>
                <w:sz w:val="26"/>
                <w:szCs w:val="26"/>
                <w:color w:val="42B6E9"/>
                <w:w w:val="97"/>
                <w:vertAlign w:val="superscript"/>
              </w:rPr>
              <w:t>(4)</w:t>
            </w:r>
          </w:p>
        </w:tc>
      </w:tr>
      <w:tr>
        <w:trPr>
          <w:trHeight w:val="378"/>
        </w:trPr>
        <w:tc>
          <w:tcPr>
            <w:tcW w:w="1780" w:type="dxa"/>
            <w:vAlign w:val="bottom"/>
            <w:shd w:val="clear" w:color="auto" w:fill="E9F8FD"/>
          </w:tcPr>
          <w:p>
            <w:pPr>
              <w:ind w:left="80"/>
              <w:spacing w:after="0"/>
              <w:rPr>
                <w:sz w:val="20"/>
                <w:szCs w:val="20"/>
                <w:color w:val="auto"/>
              </w:rPr>
            </w:pPr>
            <w:r>
              <w:rPr>
                <w:rFonts w:ascii="Arial" w:cs="Arial" w:eastAsia="Arial" w:hAnsi="Arial"/>
                <w:sz w:val="16"/>
                <w:szCs w:val="16"/>
                <w:color w:val="42B6E9"/>
              </w:rPr>
              <w:t>Thomas Chuang</w:t>
            </w:r>
          </w:p>
        </w:tc>
        <w:tc>
          <w:tcPr>
            <w:tcW w:w="1340" w:type="dxa"/>
            <w:vAlign w:val="bottom"/>
            <w:shd w:val="clear" w:color="auto" w:fill="E9F8FD"/>
          </w:tcPr>
          <w:p>
            <w:pPr>
              <w:jc w:val="right"/>
              <w:ind w:right="142"/>
              <w:spacing w:after="0"/>
              <w:rPr>
                <w:sz w:val="20"/>
                <w:szCs w:val="20"/>
                <w:color w:val="auto"/>
              </w:rPr>
            </w:pPr>
            <w:r>
              <w:rPr>
                <w:rFonts w:ascii="Arial" w:cs="Arial" w:eastAsia="Arial" w:hAnsi="Arial"/>
                <w:sz w:val="16"/>
                <w:szCs w:val="16"/>
                <w:color w:val="42B6E9"/>
              </w:rPr>
              <w:t>9/9/2020</w:t>
            </w:r>
          </w:p>
        </w:tc>
        <w:tc>
          <w:tcPr>
            <w:tcW w:w="1140" w:type="dxa"/>
            <w:vAlign w:val="bottom"/>
            <w:shd w:val="clear" w:color="auto" w:fill="E9F8FD"/>
          </w:tcPr>
          <w:p>
            <w:pPr>
              <w:jc w:val="right"/>
              <w:ind w:right="142"/>
              <w:spacing w:after="0"/>
              <w:rPr>
                <w:sz w:val="20"/>
                <w:szCs w:val="20"/>
                <w:color w:val="auto"/>
              </w:rPr>
            </w:pPr>
            <w:r>
              <w:rPr>
                <w:rFonts w:ascii="Arial" w:cs="Arial" w:eastAsia="Arial" w:hAnsi="Arial"/>
                <w:sz w:val="16"/>
                <w:szCs w:val="16"/>
                <w:color w:val="42B6E9"/>
              </w:rPr>
              <w:t>9/9/2020</w:t>
            </w:r>
          </w:p>
        </w:tc>
        <w:tc>
          <w:tcPr>
            <w:tcW w:w="1200" w:type="dxa"/>
            <w:vAlign w:val="bottom"/>
            <w:shd w:val="clear" w:color="auto" w:fill="E9F8FD"/>
          </w:tcPr>
          <w:p>
            <w:pPr>
              <w:jc w:val="right"/>
              <w:ind w:right="164"/>
              <w:spacing w:after="0"/>
              <w:rPr>
                <w:sz w:val="20"/>
                <w:szCs w:val="20"/>
                <w:color w:val="auto"/>
              </w:rPr>
            </w:pPr>
            <w:r>
              <w:rPr>
                <w:rFonts w:ascii="Arial" w:cs="Arial" w:eastAsia="Arial" w:hAnsi="Arial"/>
                <w:sz w:val="16"/>
                <w:szCs w:val="16"/>
                <w:color w:val="42B6E9"/>
              </w:rPr>
              <w:t>—</w:t>
            </w:r>
          </w:p>
        </w:tc>
        <w:tc>
          <w:tcPr>
            <w:tcW w:w="1260" w:type="dxa"/>
            <w:vAlign w:val="bottom"/>
            <w:shd w:val="clear" w:color="auto" w:fill="E9F8FD"/>
          </w:tcPr>
          <w:p>
            <w:pPr>
              <w:jc w:val="right"/>
              <w:ind w:right="142"/>
              <w:spacing w:after="0"/>
              <w:rPr>
                <w:sz w:val="20"/>
                <w:szCs w:val="20"/>
                <w:color w:val="auto"/>
              </w:rPr>
            </w:pPr>
            <w:r>
              <w:rPr>
                <w:rFonts w:ascii="Arial" w:cs="Arial" w:eastAsia="Arial" w:hAnsi="Arial"/>
                <w:sz w:val="16"/>
                <w:szCs w:val="16"/>
                <w:color w:val="42B6E9"/>
              </w:rPr>
              <w:t>—</w:t>
            </w:r>
          </w:p>
        </w:tc>
        <w:tc>
          <w:tcPr>
            <w:tcW w:w="1520" w:type="dxa"/>
            <w:vAlign w:val="bottom"/>
            <w:shd w:val="clear" w:color="auto" w:fill="E9F8FD"/>
          </w:tcPr>
          <w:p>
            <w:pPr>
              <w:jc w:val="center"/>
              <w:spacing w:after="0"/>
              <w:rPr>
                <w:sz w:val="20"/>
                <w:szCs w:val="20"/>
                <w:color w:val="auto"/>
              </w:rPr>
            </w:pPr>
            <w:r>
              <w:rPr>
                <w:rFonts w:ascii="Arial" w:cs="Arial" w:eastAsia="Arial" w:hAnsi="Arial"/>
                <w:sz w:val="16"/>
                <w:szCs w:val="16"/>
                <w:color w:val="42B6E9"/>
                <w:w w:val="96"/>
              </w:rPr>
              <w:t>100,000</w:t>
            </w:r>
            <w:r>
              <w:rPr>
                <w:rFonts w:ascii="Arial" w:cs="Arial" w:eastAsia="Arial" w:hAnsi="Arial"/>
                <w:sz w:val="26"/>
                <w:szCs w:val="26"/>
                <w:color w:val="42B6E9"/>
                <w:w w:val="96"/>
                <w:vertAlign w:val="superscript"/>
              </w:rPr>
              <w:t>(3)</w:t>
            </w:r>
          </w:p>
        </w:tc>
        <w:tc>
          <w:tcPr>
            <w:tcW w:w="1320" w:type="dxa"/>
            <w:vAlign w:val="bottom"/>
            <w:shd w:val="clear" w:color="auto" w:fill="E9F8FD"/>
          </w:tcPr>
          <w:p>
            <w:pPr>
              <w:jc w:val="center"/>
              <w:ind w:left="24"/>
              <w:spacing w:after="0"/>
              <w:rPr>
                <w:sz w:val="20"/>
                <w:szCs w:val="20"/>
                <w:color w:val="auto"/>
              </w:rPr>
            </w:pPr>
            <w:r>
              <w:rPr>
                <w:rFonts w:ascii="Arial" w:cs="Arial" w:eastAsia="Arial" w:hAnsi="Arial"/>
                <w:sz w:val="16"/>
                <w:szCs w:val="16"/>
                <w:color w:val="42B6E9"/>
                <w:w w:val="97"/>
              </w:rPr>
              <w:t>1,636,900</w:t>
            </w:r>
            <w:r>
              <w:rPr>
                <w:rFonts w:ascii="Arial" w:cs="Arial" w:eastAsia="Arial" w:hAnsi="Arial"/>
                <w:sz w:val="26"/>
                <w:szCs w:val="26"/>
                <w:color w:val="42B6E9"/>
                <w:w w:val="97"/>
                <w:vertAlign w:val="superscript"/>
              </w:rPr>
              <w:t>(4)</w:t>
            </w:r>
          </w:p>
        </w:tc>
      </w:tr>
      <w:tr>
        <w:trPr>
          <w:trHeight w:val="351"/>
        </w:trPr>
        <w:tc>
          <w:tcPr>
            <w:tcW w:w="1780" w:type="dxa"/>
            <w:vAlign w:val="bottom"/>
            <w:shd w:val="clear" w:color="auto" w:fill="E9F8FD"/>
          </w:tcPr>
          <w:p>
            <w:pPr>
              <w:ind w:left="80"/>
              <w:spacing w:after="0"/>
              <w:rPr>
                <w:sz w:val="20"/>
                <w:szCs w:val="20"/>
                <w:color w:val="auto"/>
              </w:rPr>
            </w:pPr>
            <w:r>
              <w:rPr>
                <w:rFonts w:ascii="Arial" w:cs="Arial" w:eastAsia="Arial" w:hAnsi="Arial"/>
                <w:sz w:val="16"/>
                <w:szCs w:val="16"/>
                <w:color w:val="42B6E9"/>
              </w:rPr>
              <w:t>Pai Liu</w:t>
            </w:r>
          </w:p>
        </w:tc>
        <w:tc>
          <w:tcPr>
            <w:tcW w:w="1340" w:type="dxa"/>
            <w:vAlign w:val="bottom"/>
            <w:shd w:val="clear" w:color="auto" w:fill="E9F8FD"/>
          </w:tcPr>
          <w:p>
            <w:pPr>
              <w:jc w:val="right"/>
              <w:ind w:right="142"/>
              <w:spacing w:after="0"/>
              <w:rPr>
                <w:sz w:val="20"/>
                <w:szCs w:val="20"/>
                <w:color w:val="auto"/>
              </w:rPr>
            </w:pPr>
            <w:r>
              <w:rPr>
                <w:rFonts w:ascii="Arial" w:cs="Arial" w:eastAsia="Arial" w:hAnsi="Arial"/>
                <w:sz w:val="16"/>
                <w:szCs w:val="16"/>
                <w:color w:val="42B6E9"/>
              </w:rPr>
              <w:t>9/9/2020</w:t>
            </w:r>
          </w:p>
        </w:tc>
        <w:tc>
          <w:tcPr>
            <w:tcW w:w="1140" w:type="dxa"/>
            <w:vAlign w:val="bottom"/>
            <w:shd w:val="clear" w:color="auto" w:fill="E9F8FD"/>
          </w:tcPr>
          <w:p>
            <w:pPr>
              <w:jc w:val="right"/>
              <w:ind w:right="142"/>
              <w:spacing w:after="0"/>
              <w:rPr>
                <w:sz w:val="20"/>
                <w:szCs w:val="20"/>
                <w:color w:val="auto"/>
              </w:rPr>
            </w:pPr>
            <w:r>
              <w:rPr>
                <w:rFonts w:ascii="Arial" w:cs="Arial" w:eastAsia="Arial" w:hAnsi="Arial"/>
                <w:sz w:val="16"/>
                <w:szCs w:val="16"/>
                <w:color w:val="42B6E9"/>
              </w:rPr>
              <w:t>9/9/2020</w:t>
            </w:r>
          </w:p>
        </w:tc>
        <w:tc>
          <w:tcPr>
            <w:tcW w:w="1200" w:type="dxa"/>
            <w:vAlign w:val="bottom"/>
            <w:shd w:val="clear" w:color="auto" w:fill="E9F8FD"/>
          </w:tcPr>
          <w:p>
            <w:pPr>
              <w:jc w:val="right"/>
              <w:ind w:right="164"/>
              <w:spacing w:after="0"/>
              <w:rPr>
                <w:sz w:val="20"/>
                <w:szCs w:val="20"/>
                <w:color w:val="auto"/>
              </w:rPr>
            </w:pPr>
            <w:r>
              <w:rPr>
                <w:rFonts w:ascii="Arial" w:cs="Arial" w:eastAsia="Arial" w:hAnsi="Arial"/>
                <w:sz w:val="16"/>
                <w:szCs w:val="16"/>
                <w:color w:val="42B6E9"/>
              </w:rPr>
              <w:t>—</w:t>
            </w:r>
          </w:p>
        </w:tc>
        <w:tc>
          <w:tcPr>
            <w:tcW w:w="1260" w:type="dxa"/>
            <w:vAlign w:val="bottom"/>
            <w:shd w:val="clear" w:color="auto" w:fill="E9F8FD"/>
          </w:tcPr>
          <w:p>
            <w:pPr>
              <w:jc w:val="right"/>
              <w:ind w:right="142"/>
              <w:spacing w:after="0"/>
              <w:rPr>
                <w:sz w:val="20"/>
                <w:szCs w:val="20"/>
                <w:color w:val="auto"/>
              </w:rPr>
            </w:pPr>
            <w:r>
              <w:rPr>
                <w:rFonts w:ascii="Arial" w:cs="Arial" w:eastAsia="Arial" w:hAnsi="Arial"/>
                <w:sz w:val="16"/>
                <w:szCs w:val="16"/>
                <w:color w:val="42B6E9"/>
              </w:rPr>
              <w:t>—</w:t>
            </w:r>
          </w:p>
        </w:tc>
        <w:tc>
          <w:tcPr>
            <w:tcW w:w="1520" w:type="dxa"/>
            <w:vAlign w:val="bottom"/>
            <w:shd w:val="clear" w:color="auto" w:fill="E9F8FD"/>
          </w:tcPr>
          <w:p>
            <w:pPr>
              <w:jc w:val="center"/>
              <w:spacing w:after="0"/>
              <w:rPr>
                <w:sz w:val="20"/>
                <w:szCs w:val="20"/>
                <w:color w:val="auto"/>
              </w:rPr>
            </w:pPr>
            <w:r>
              <w:rPr>
                <w:rFonts w:ascii="Arial" w:cs="Arial" w:eastAsia="Arial" w:hAnsi="Arial"/>
                <w:sz w:val="16"/>
                <w:szCs w:val="16"/>
                <w:color w:val="42B6E9"/>
                <w:w w:val="96"/>
              </w:rPr>
              <w:t>117,950</w:t>
            </w:r>
            <w:r>
              <w:rPr>
                <w:rFonts w:ascii="Arial" w:cs="Arial" w:eastAsia="Arial" w:hAnsi="Arial"/>
                <w:sz w:val="26"/>
                <w:szCs w:val="26"/>
                <w:color w:val="42B6E9"/>
                <w:w w:val="96"/>
                <w:vertAlign w:val="superscript"/>
              </w:rPr>
              <w:t>(3)</w:t>
            </w:r>
          </w:p>
        </w:tc>
        <w:tc>
          <w:tcPr>
            <w:tcW w:w="1320" w:type="dxa"/>
            <w:vAlign w:val="bottom"/>
            <w:shd w:val="clear" w:color="auto" w:fill="E9F8FD"/>
          </w:tcPr>
          <w:p>
            <w:pPr>
              <w:jc w:val="center"/>
              <w:ind w:left="24"/>
              <w:spacing w:after="0"/>
              <w:rPr>
                <w:sz w:val="20"/>
                <w:szCs w:val="20"/>
                <w:color w:val="auto"/>
              </w:rPr>
            </w:pPr>
            <w:r>
              <w:rPr>
                <w:rFonts w:ascii="Arial" w:cs="Arial" w:eastAsia="Arial" w:hAnsi="Arial"/>
                <w:sz w:val="16"/>
                <w:szCs w:val="16"/>
                <w:color w:val="42B6E9"/>
                <w:w w:val="97"/>
              </w:rPr>
              <w:t>1,930,724</w:t>
            </w:r>
            <w:r>
              <w:rPr>
                <w:rFonts w:ascii="Arial" w:cs="Arial" w:eastAsia="Arial" w:hAnsi="Arial"/>
                <w:sz w:val="26"/>
                <w:szCs w:val="26"/>
                <w:color w:val="42B6E9"/>
                <w:w w:val="97"/>
                <w:vertAlign w:val="superscript"/>
              </w:rPr>
              <w:t>(4)</w:t>
            </w:r>
          </w:p>
        </w:tc>
      </w:tr>
    </w:tbl>
    <w:p>
      <w:pPr>
        <w:spacing w:after="0" w:line="113" w:lineRule="exact"/>
        <w:rPr>
          <w:sz w:val="20"/>
          <w:szCs w:val="20"/>
          <w:color w:val="auto"/>
        </w:rPr>
      </w:pPr>
    </w:p>
    <w:p>
      <w:pPr>
        <w:ind w:left="960" w:right="740" w:hanging="244"/>
        <w:spacing w:after="0" w:line="230" w:lineRule="auto"/>
        <w:tabs>
          <w:tab w:leader="none" w:pos="9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Vesting of the RSUs subject to the CEO Performance Award is contingent on our stock price performance over a performance period beginning six months after the effective date of our initial public offering and ending on the seventh anniversary thereof. The award is divided into five tranches based on achievement of certain stock price targets, based on an increase above $23 per share. Mr. Szulczewski is also required to remain employed as our Chief Executive Officer through at least the second anniversary of our initial public offering and continue to serve as chief executive officer thereafter on the applicable achievement date of the stock price target, subject to certain exceptions in connection with a change in control transaction, as described in greater detail in the “CEO Performance Award” section of the “Compensation Discussion and Analysis” beginning on page </w:t>
      </w:r>
      <w:hyperlink w:anchor="page27">
        <w:r>
          <w:rPr>
            <w:rFonts w:ascii="Arial" w:cs="Arial" w:eastAsia="Arial" w:hAnsi="Arial"/>
            <w:sz w:val="14"/>
            <w:szCs w:val="14"/>
            <w:u w:val="single" w:color="auto"/>
            <w:color w:val="0000EE"/>
          </w:rPr>
          <w:t>22</w:t>
        </w:r>
      </w:hyperlink>
      <w:r>
        <w:rPr>
          <w:rFonts w:ascii="Arial" w:cs="Arial" w:eastAsia="Arial" w:hAnsi="Arial"/>
          <w:sz w:val="14"/>
          <w:szCs w:val="14"/>
          <w:color w:val="auto"/>
        </w:rPr>
        <w:t>. The number of shares reflected in the table above as the “threshold” payout assumes that the first stock price performance target is achieved and that Mr. Szulczewski remains employed as our Chief Executive Officer through the achievement date. The number of shares reflected in the table above as the “target” payout assumes that all of the stock price performance targets will be achieved and that Mr. Szulczewski will remain employed as our Chief Executive Officer through the relevant achievement dates. No “maximum” is applicable to the award, as full vesting of the CEO Performance Award will be achieved at the “target” payout in the table above.</w:t>
      </w:r>
    </w:p>
    <w:p>
      <w:pPr>
        <w:spacing w:after="0" w:line="10" w:lineRule="exact"/>
        <w:rPr>
          <w:rFonts w:ascii="Arial" w:cs="Arial" w:eastAsia="Arial" w:hAnsi="Arial"/>
          <w:sz w:val="14"/>
          <w:szCs w:val="14"/>
          <w:color w:val="auto"/>
        </w:rPr>
      </w:pPr>
    </w:p>
    <w:p>
      <w:pPr>
        <w:ind w:left="960" w:right="820" w:hanging="244"/>
        <w:spacing w:after="0" w:line="207" w:lineRule="auto"/>
        <w:tabs>
          <w:tab w:leader="none" w:pos="96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Reflects the grant date fair value of the CEO Performance Award, calculated in accordance with ASC Topic 718 for stock-based compensation. In accordance with SEC rules, the grant date fair value of the CEO Performance Award is based on the probable outcome of the performance conditions applicable to the award.</w:t>
      </w:r>
    </w:p>
    <w:p>
      <w:pPr>
        <w:spacing w:after="0" w:line="3" w:lineRule="exact"/>
        <w:rPr>
          <w:rFonts w:ascii="Arial" w:cs="Arial" w:eastAsia="Arial" w:hAnsi="Arial"/>
          <w:sz w:val="22"/>
          <w:szCs w:val="22"/>
          <w:color w:val="auto"/>
          <w:vertAlign w:val="superscript"/>
        </w:rPr>
      </w:pPr>
    </w:p>
    <w:p>
      <w:pPr>
        <w:ind w:left="960" w:right="1160" w:hanging="244"/>
        <w:spacing w:after="0" w:line="193" w:lineRule="auto"/>
        <w:tabs>
          <w:tab w:leader="none" w:pos="96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The service-based vesting condition is satisfied in equal monthly installments over 4 years of continuous service commencing on the vesting commencement date.</w:t>
      </w:r>
    </w:p>
    <w:p>
      <w:pPr>
        <w:spacing w:after="0" w:line="18" w:lineRule="exact"/>
        <w:rPr>
          <w:rFonts w:ascii="Arial" w:cs="Arial" w:eastAsia="Arial" w:hAnsi="Arial"/>
          <w:sz w:val="22"/>
          <w:szCs w:val="22"/>
          <w:color w:val="auto"/>
          <w:vertAlign w:val="superscript"/>
        </w:rPr>
      </w:pPr>
    </w:p>
    <w:p>
      <w:pPr>
        <w:ind w:left="960" w:right="820" w:hanging="244"/>
        <w:spacing w:after="0" w:line="207" w:lineRule="auto"/>
        <w:tabs>
          <w:tab w:leader="none" w:pos="96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Reflects the grant date fair value of the RSU award, calculated in accordance with ASC Topic 718 for stock-based compensation. The RSUs granted to our named executive officers other than Mr. Szulczewski in 2020 were subject to both a service-based vesting condition and a liquidity-based vesting condition. The liquidity-based vesting condition was satisfied upon the effectiveness of our initial public offering.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060"/>
              <w:spacing w:after="0"/>
              <w:rPr>
                <w:sz w:val="20"/>
                <w:szCs w:val="20"/>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27</w:t>
            </w:r>
          </w:p>
        </w:tc>
      </w:tr>
      <w:tr>
        <w:trPr>
          <w:trHeight w:val="168"/>
        </w:trPr>
        <w:tc>
          <w:tcPr>
            <w:tcW w:w="9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32" w:name="page33"/>
    <w:bookmarkEnd w:id="32"/>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42B6E9"/>
        </w:rPr>
        <w:t>EXECUTIVE COMPENSATION (continued)</w:t>
      </w:r>
    </w:p>
    <w:p>
      <w:pPr>
        <w:spacing w:after="0" w:line="378" w:lineRule="exact"/>
        <w:rPr>
          <w:sz w:val="20"/>
          <w:szCs w:val="20"/>
          <w:color w:val="auto"/>
        </w:rPr>
      </w:pPr>
    </w:p>
    <w:p>
      <w:pPr>
        <w:ind w:left="4"/>
        <w:spacing w:after="0"/>
        <w:rPr>
          <w:sz w:val="20"/>
          <w:szCs w:val="20"/>
          <w:color w:val="auto"/>
        </w:rPr>
      </w:pPr>
      <w:r>
        <w:rPr>
          <w:rFonts w:ascii="Arial" w:cs="Arial" w:eastAsia="Arial" w:hAnsi="Arial"/>
          <w:sz w:val="26"/>
          <w:szCs w:val="26"/>
          <w:color w:val="42B6E9"/>
        </w:rPr>
        <w:t>Outstanding Equity Awards at 2020 Fiscal Year-End</w:t>
      </w:r>
    </w:p>
    <w:p>
      <w:pPr>
        <w:spacing w:after="0" w:line="169" w:lineRule="exact"/>
        <w:rPr>
          <w:sz w:val="20"/>
          <w:szCs w:val="20"/>
          <w:color w:val="auto"/>
        </w:rPr>
      </w:pPr>
    </w:p>
    <w:p>
      <w:pPr>
        <w:ind w:left="4" w:right="460"/>
        <w:spacing w:after="0" w:line="260" w:lineRule="auto"/>
        <w:rPr>
          <w:sz w:val="20"/>
          <w:szCs w:val="20"/>
          <w:color w:val="auto"/>
        </w:rPr>
      </w:pPr>
      <w:r>
        <w:rPr>
          <w:rFonts w:ascii="Arial" w:cs="Arial" w:eastAsia="Arial" w:hAnsi="Arial"/>
          <w:sz w:val="16"/>
          <w:szCs w:val="16"/>
          <w:color w:val="auto"/>
        </w:rPr>
        <w:t>The following table provides information regarding outstanding equity awards held by our named executive officers as of December 31, 2020, including the number of shares subject to each award and, where applicable, the exercise price per share.</w:t>
      </w:r>
    </w:p>
    <w:p>
      <w:pPr>
        <w:spacing w:after="0" w:line="195"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vesting schedule applicable to each outstanding award is described in the footnotes to the table below.</w:t>
      </w:r>
    </w:p>
    <w:p>
      <w:pPr>
        <w:spacing w:after="0" w:line="167" w:lineRule="exact"/>
        <w:rPr>
          <w:sz w:val="20"/>
          <w:szCs w:val="20"/>
          <w:color w:val="auto"/>
        </w:rPr>
      </w:pPr>
    </w:p>
    <w:p>
      <w:pPr>
        <w:ind w:left="4" w:right="40"/>
        <w:spacing w:after="0" w:line="260" w:lineRule="auto"/>
        <w:rPr>
          <w:sz w:val="20"/>
          <w:szCs w:val="20"/>
          <w:color w:val="auto"/>
        </w:rPr>
      </w:pPr>
      <w:r>
        <w:rPr>
          <w:rFonts w:ascii="Arial" w:cs="Arial" w:eastAsia="Arial" w:hAnsi="Arial"/>
          <w:sz w:val="16"/>
          <w:szCs w:val="16"/>
          <w:color w:val="auto"/>
        </w:rPr>
        <w:t>Additionally, the following table does not include RSUs that vested on our initial public offering in December 2020 or based on service prior to December 31, 2020, but were later settled in February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6077585" cy="67894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77585" cy="6789420"/>
                    </a:xfrm>
                    <a:prstGeom prst="rect">
                      <a:avLst/>
                    </a:prstGeom>
                    <a:noFill/>
                  </pic:spPr>
                </pic:pic>
              </a:graphicData>
            </a:graphic>
          </wp:anchor>
        </w:drawing>
      </w:r>
    </w:p>
    <w:p>
      <w:pPr>
        <w:spacing w:after="0" w:line="38" w:lineRule="exact"/>
        <w:rPr>
          <w:sz w:val="20"/>
          <w:szCs w:val="20"/>
          <w:color w:val="auto"/>
        </w:rPr>
      </w:pPr>
    </w:p>
    <w:tbl>
      <w:tblPr>
        <w:tblLayout w:type="fixed"/>
        <w:tblInd w:w="4" w:type="dxa"/>
        <w:tblCellMar>
          <w:top w:w="0" w:type="dxa"/>
          <w:left w:w="0" w:type="dxa"/>
          <w:bottom w:w="0" w:type="dxa"/>
          <w:right w:w="0" w:type="dxa"/>
        </w:tblCellMar>
      </w:tblPr>
      <w:tr>
        <w:trPr>
          <w:trHeight w:val="285"/>
        </w:trPr>
        <w:tc>
          <w:tcPr>
            <w:tcW w:w="1360" w:type="dxa"/>
            <w:vAlign w:val="bottom"/>
            <w:shd w:val="clear" w:color="auto" w:fill="42B6E9"/>
          </w:tcPr>
          <w:p>
            <w:pPr>
              <w:spacing w:after="0"/>
              <w:rPr>
                <w:sz w:val="24"/>
                <w:szCs w:val="24"/>
                <w:color w:val="auto"/>
              </w:rPr>
            </w:pPr>
          </w:p>
        </w:tc>
        <w:tc>
          <w:tcPr>
            <w:tcW w:w="1200" w:type="dxa"/>
            <w:vAlign w:val="bottom"/>
            <w:shd w:val="clear" w:color="auto" w:fill="42B6E9"/>
          </w:tcPr>
          <w:p>
            <w:pPr>
              <w:spacing w:after="0"/>
              <w:rPr>
                <w:sz w:val="24"/>
                <w:szCs w:val="24"/>
                <w:color w:val="auto"/>
              </w:rPr>
            </w:pPr>
          </w:p>
        </w:tc>
        <w:tc>
          <w:tcPr>
            <w:tcW w:w="1940" w:type="dxa"/>
            <w:vAlign w:val="bottom"/>
            <w:gridSpan w:val="2"/>
            <w:shd w:val="clear" w:color="auto" w:fill="42B6E9"/>
          </w:tcPr>
          <w:p>
            <w:pPr>
              <w:ind w:left="900"/>
              <w:spacing w:after="0"/>
              <w:rPr>
                <w:sz w:val="20"/>
                <w:szCs w:val="20"/>
                <w:color w:val="auto"/>
              </w:rPr>
            </w:pPr>
            <w:r>
              <w:rPr>
                <w:rFonts w:ascii="Arial" w:cs="Arial" w:eastAsia="Arial" w:hAnsi="Arial"/>
                <w:sz w:val="14"/>
                <w:szCs w:val="14"/>
                <w:b w:val="1"/>
                <w:bCs w:val="1"/>
                <w:color w:val="FFFFFF"/>
              </w:rPr>
              <w:t>Option Awards</w:t>
            </w:r>
          </w:p>
        </w:tc>
        <w:tc>
          <w:tcPr>
            <w:tcW w:w="740" w:type="dxa"/>
            <w:vAlign w:val="bottom"/>
            <w:shd w:val="clear" w:color="auto" w:fill="42B6E9"/>
          </w:tcPr>
          <w:p>
            <w:pPr>
              <w:spacing w:after="0"/>
              <w:rPr>
                <w:sz w:val="24"/>
                <w:szCs w:val="24"/>
                <w:color w:val="auto"/>
              </w:rPr>
            </w:pPr>
          </w:p>
        </w:tc>
        <w:tc>
          <w:tcPr>
            <w:tcW w:w="1100" w:type="dxa"/>
            <w:vAlign w:val="bottom"/>
            <w:shd w:val="clear" w:color="auto" w:fill="42B6E9"/>
          </w:tcPr>
          <w:p>
            <w:pPr>
              <w:spacing w:after="0"/>
              <w:rPr>
                <w:sz w:val="24"/>
                <w:szCs w:val="24"/>
                <w:color w:val="auto"/>
              </w:rPr>
            </w:pPr>
          </w:p>
        </w:tc>
        <w:tc>
          <w:tcPr>
            <w:tcW w:w="2080" w:type="dxa"/>
            <w:vAlign w:val="bottom"/>
            <w:gridSpan w:val="2"/>
            <w:shd w:val="clear" w:color="auto" w:fill="42B6E9"/>
          </w:tcPr>
          <w:p>
            <w:pPr>
              <w:ind w:left="600"/>
              <w:spacing w:after="0"/>
              <w:rPr>
                <w:sz w:val="20"/>
                <w:szCs w:val="20"/>
                <w:color w:val="auto"/>
              </w:rPr>
            </w:pPr>
            <w:r>
              <w:rPr>
                <w:rFonts w:ascii="Arial" w:cs="Arial" w:eastAsia="Arial" w:hAnsi="Arial"/>
                <w:sz w:val="14"/>
                <w:szCs w:val="14"/>
                <w:b w:val="1"/>
                <w:bCs w:val="1"/>
                <w:color w:val="FFFFFF"/>
              </w:rPr>
              <w:t>Stock Awards</w:t>
            </w:r>
          </w:p>
        </w:tc>
        <w:tc>
          <w:tcPr>
            <w:tcW w:w="1140" w:type="dxa"/>
            <w:vAlign w:val="bottom"/>
            <w:shd w:val="clear" w:color="auto" w:fill="42B6E9"/>
          </w:tcPr>
          <w:p>
            <w:pPr>
              <w:spacing w:after="0"/>
              <w:rPr>
                <w:sz w:val="24"/>
                <w:szCs w:val="24"/>
                <w:color w:val="auto"/>
              </w:rPr>
            </w:pPr>
          </w:p>
        </w:tc>
      </w:tr>
      <w:tr>
        <w:trPr>
          <w:trHeight w:val="323"/>
        </w:trPr>
        <w:tc>
          <w:tcPr>
            <w:tcW w:w="1360" w:type="dxa"/>
            <w:vAlign w:val="bottom"/>
            <w:shd w:val="clear" w:color="auto" w:fill="42B6E9"/>
          </w:tcPr>
          <w:p>
            <w:pPr>
              <w:spacing w:after="0"/>
              <w:rPr>
                <w:sz w:val="24"/>
                <w:szCs w:val="24"/>
                <w:color w:val="auto"/>
              </w:rPr>
            </w:pPr>
          </w:p>
        </w:tc>
        <w:tc>
          <w:tcPr>
            <w:tcW w:w="1200" w:type="dxa"/>
            <w:vAlign w:val="bottom"/>
            <w:shd w:val="clear" w:color="auto" w:fill="42B6E9"/>
          </w:tcPr>
          <w:p>
            <w:pPr>
              <w:spacing w:after="0"/>
              <w:rPr>
                <w:sz w:val="24"/>
                <w:szCs w:val="24"/>
                <w:color w:val="auto"/>
              </w:rPr>
            </w:pPr>
          </w:p>
        </w:tc>
        <w:tc>
          <w:tcPr>
            <w:tcW w:w="1080" w:type="dxa"/>
            <w:vAlign w:val="bottom"/>
            <w:shd w:val="clear" w:color="auto" w:fill="42B6E9"/>
          </w:tcPr>
          <w:p>
            <w:pPr>
              <w:spacing w:after="0"/>
              <w:rPr>
                <w:sz w:val="24"/>
                <w:szCs w:val="24"/>
                <w:color w:val="auto"/>
              </w:rPr>
            </w:pPr>
          </w:p>
        </w:tc>
        <w:tc>
          <w:tcPr>
            <w:tcW w:w="860" w:type="dxa"/>
            <w:vAlign w:val="bottom"/>
            <w:shd w:val="clear" w:color="auto" w:fill="42B6E9"/>
          </w:tcPr>
          <w:p>
            <w:pPr>
              <w:spacing w:after="0"/>
              <w:rPr>
                <w:sz w:val="24"/>
                <w:szCs w:val="24"/>
                <w:color w:val="auto"/>
              </w:rPr>
            </w:pPr>
          </w:p>
        </w:tc>
        <w:tc>
          <w:tcPr>
            <w:tcW w:w="740" w:type="dxa"/>
            <w:vAlign w:val="bottom"/>
            <w:shd w:val="clear" w:color="auto" w:fill="42B6E9"/>
          </w:tcPr>
          <w:p>
            <w:pPr>
              <w:spacing w:after="0"/>
              <w:rPr>
                <w:sz w:val="24"/>
                <w:szCs w:val="24"/>
                <w:color w:val="auto"/>
              </w:rPr>
            </w:pPr>
          </w:p>
        </w:tc>
        <w:tc>
          <w:tcPr>
            <w:tcW w:w="1100" w:type="dxa"/>
            <w:vAlign w:val="bottom"/>
            <w:shd w:val="clear" w:color="auto" w:fill="42B6E9"/>
          </w:tcPr>
          <w:p>
            <w:pPr>
              <w:spacing w:after="0"/>
              <w:rPr>
                <w:sz w:val="24"/>
                <w:szCs w:val="24"/>
                <w:color w:val="auto"/>
              </w:rPr>
            </w:pPr>
          </w:p>
        </w:tc>
        <w:tc>
          <w:tcPr>
            <w:tcW w:w="880" w:type="dxa"/>
            <w:vAlign w:val="bottom"/>
            <w:shd w:val="clear" w:color="auto" w:fill="42B6E9"/>
          </w:tcPr>
          <w:p>
            <w:pPr>
              <w:spacing w:after="0"/>
              <w:rPr>
                <w:sz w:val="24"/>
                <w:szCs w:val="24"/>
                <w:color w:val="auto"/>
              </w:rPr>
            </w:pPr>
          </w:p>
        </w:tc>
        <w:tc>
          <w:tcPr>
            <w:tcW w:w="120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Equity</w:t>
            </w:r>
          </w:p>
        </w:tc>
        <w:tc>
          <w:tcPr>
            <w:tcW w:w="114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Equity</w:t>
            </w:r>
          </w:p>
        </w:tc>
      </w:tr>
      <w:tr>
        <w:trPr>
          <w:trHeight w:val="162"/>
        </w:trPr>
        <w:tc>
          <w:tcPr>
            <w:tcW w:w="1360" w:type="dxa"/>
            <w:vAlign w:val="bottom"/>
            <w:shd w:val="clear" w:color="auto" w:fill="42B6E9"/>
          </w:tcPr>
          <w:p>
            <w:pPr>
              <w:spacing w:after="0"/>
              <w:rPr>
                <w:sz w:val="14"/>
                <w:szCs w:val="14"/>
                <w:color w:val="auto"/>
              </w:rPr>
            </w:pPr>
          </w:p>
        </w:tc>
        <w:tc>
          <w:tcPr>
            <w:tcW w:w="1200" w:type="dxa"/>
            <w:vAlign w:val="bottom"/>
            <w:shd w:val="clear" w:color="auto" w:fill="42B6E9"/>
          </w:tcPr>
          <w:p>
            <w:pPr>
              <w:spacing w:after="0"/>
              <w:rPr>
                <w:sz w:val="14"/>
                <w:szCs w:val="14"/>
                <w:color w:val="auto"/>
              </w:rPr>
            </w:pPr>
          </w:p>
        </w:tc>
        <w:tc>
          <w:tcPr>
            <w:tcW w:w="1080" w:type="dxa"/>
            <w:vAlign w:val="bottom"/>
            <w:shd w:val="clear" w:color="auto" w:fill="42B6E9"/>
          </w:tcPr>
          <w:p>
            <w:pPr>
              <w:spacing w:after="0"/>
              <w:rPr>
                <w:sz w:val="14"/>
                <w:szCs w:val="14"/>
                <w:color w:val="auto"/>
              </w:rPr>
            </w:pPr>
          </w:p>
        </w:tc>
        <w:tc>
          <w:tcPr>
            <w:tcW w:w="860" w:type="dxa"/>
            <w:vAlign w:val="bottom"/>
            <w:shd w:val="clear" w:color="auto" w:fill="42B6E9"/>
          </w:tcPr>
          <w:p>
            <w:pPr>
              <w:spacing w:after="0"/>
              <w:rPr>
                <w:sz w:val="14"/>
                <w:szCs w:val="14"/>
                <w:color w:val="auto"/>
              </w:rPr>
            </w:pPr>
          </w:p>
        </w:tc>
        <w:tc>
          <w:tcPr>
            <w:tcW w:w="740" w:type="dxa"/>
            <w:vAlign w:val="bottom"/>
            <w:shd w:val="clear" w:color="auto" w:fill="42B6E9"/>
          </w:tcPr>
          <w:p>
            <w:pPr>
              <w:spacing w:after="0"/>
              <w:rPr>
                <w:sz w:val="14"/>
                <w:szCs w:val="14"/>
                <w:color w:val="auto"/>
              </w:rPr>
            </w:pPr>
          </w:p>
        </w:tc>
        <w:tc>
          <w:tcPr>
            <w:tcW w:w="1100" w:type="dxa"/>
            <w:vAlign w:val="bottom"/>
            <w:shd w:val="clear" w:color="auto" w:fill="42B6E9"/>
          </w:tcPr>
          <w:p>
            <w:pPr>
              <w:spacing w:after="0"/>
              <w:rPr>
                <w:sz w:val="14"/>
                <w:szCs w:val="14"/>
                <w:color w:val="auto"/>
              </w:rPr>
            </w:pPr>
          </w:p>
        </w:tc>
        <w:tc>
          <w:tcPr>
            <w:tcW w:w="880" w:type="dxa"/>
            <w:vAlign w:val="bottom"/>
            <w:shd w:val="clear" w:color="auto" w:fill="42B6E9"/>
          </w:tcPr>
          <w:p>
            <w:pPr>
              <w:spacing w:after="0"/>
              <w:rPr>
                <w:sz w:val="14"/>
                <w:szCs w:val="14"/>
                <w:color w:val="auto"/>
              </w:rPr>
            </w:pPr>
          </w:p>
        </w:tc>
        <w:tc>
          <w:tcPr>
            <w:tcW w:w="120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Incentive</w:t>
            </w:r>
          </w:p>
        </w:tc>
        <w:tc>
          <w:tcPr>
            <w:tcW w:w="114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Incentive Plan</w:t>
            </w:r>
          </w:p>
        </w:tc>
      </w:tr>
      <w:tr>
        <w:trPr>
          <w:trHeight w:val="162"/>
        </w:trPr>
        <w:tc>
          <w:tcPr>
            <w:tcW w:w="1360" w:type="dxa"/>
            <w:vAlign w:val="bottom"/>
            <w:shd w:val="clear" w:color="auto" w:fill="42B6E9"/>
          </w:tcPr>
          <w:p>
            <w:pPr>
              <w:spacing w:after="0"/>
              <w:rPr>
                <w:sz w:val="14"/>
                <w:szCs w:val="14"/>
                <w:color w:val="auto"/>
              </w:rPr>
            </w:pPr>
          </w:p>
        </w:tc>
        <w:tc>
          <w:tcPr>
            <w:tcW w:w="1200" w:type="dxa"/>
            <w:vAlign w:val="bottom"/>
            <w:shd w:val="clear" w:color="auto" w:fill="42B6E9"/>
          </w:tcPr>
          <w:p>
            <w:pPr>
              <w:spacing w:after="0"/>
              <w:rPr>
                <w:sz w:val="14"/>
                <w:szCs w:val="14"/>
                <w:color w:val="auto"/>
              </w:rPr>
            </w:pPr>
          </w:p>
        </w:tc>
        <w:tc>
          <w:tcPr>
            <w:tcW w:w="1080" w:type="dxa"/>
            <w:vAlign w:val="bottom"/>
            <w:shd w:val="clear" w:color="auto" w:fill="42B6E9"/>
          </w:tcPr>
          <w:p>
            <w:pPr>
              <w:spacing w:after="0"/>
              <w:rPr>
                <w:sz w:val="14"/>
                <w:szCs w:val="14"/>
                <w:color w:val="auto"/>
              </w:rPr>
            </w:pPr>
          </w:p>
        </w:tc>
        <w:tc>
          <w:tcPr>
            <w:tcW w:w="860" w:type="dxa"/>
            <w:vAlign w:val="bottom"/>
            <w:shd w:val="clear" w:color="auto" w:fill="42B6E9"/>
          </w:tcPr>
          <w:p>
            <w:pPr>
              <w:spacing w:after="0"/>
              <w:rPr>
                <w:sz w:val="14"/>
                <w:szCs w:val="14"/>
                <w:color w:val="auto"/>
              </w:rPr>
            </w:pPr>
          </w:p>
        </w:tc>
        <w:tc>
          <w:tcPr>
            <w:tcW w:w="740" w:type="dxa"/>
            <w:vAlign w:val="bottom"/>
            <w:shd w:val="clear" w:color="auto" w:fill="42B6E9"/>
          </w:tcPr>
          <w:p>
            <w:pPr>
              <w:spacing w:after="0"/>
              <w:rPr>
                <w:sz w:val="14"/>
                <w:szCs w:val="14"/>
                <w:color w:val="auto"/>
              </w:rPr>
            </w:pPr>
          </w:p>
        </w:tc>
        <w:tc>
          <w:tcPr>
            <w:tcW w:w="1100" w:type="dxa"/>
            <w:vAlign w:val="bottom"/>
            <w:shd w:val="clear" w:color="auto" w:fill="42B6E9"/>
          </w:tcPr>
          <w:p>
            <w:pPr>
              <w:spacing w:after="0"/>
              <w:rPr>
                <w:sz w:val="14"/>
                <w:szCs w:val="14"/>
                <w:color w:val="auto"/>
              </w:rPr>
            </w:pPr>
          </w:p>
        </w:tc>
        <w:tc>
          <w:tcPr>
            <w:tcW w:w="880" w:type="dxa"/>
            <w:vAlign w:val="bottom"/>
            <w:shd w:val="clear" w:color="auto" w:fill="42B6E9"/>
          </w:tcPr>
          <w:p>
            <w:pPr>
              <w:spacing w:after="0"/>
              <w:rPr>
                <w:sz w:val="14"/>
                <w:szCs w:val="14"/>
                <w:color w:val="auto"/>
              </w:rPr>
            </w:pPr>
          </w:p>
        </w:tc>
        <w:tc>
          <w:tcPr>
            <w:tcW w:w="120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Plan</w:t>
            </w:r>
          </w:p>
        </w:tc>
        <w:tc>
          <w:tcPr>
            <w:tcW w:w="114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Awards:</w:t>
            </w:r>
          </w:p>
        </w:tc>
      </w:tr>
      <w:tr>
        <w:trPr>
          <w:trHeight w:val="162"/>
        </w:trPr>
        <w:tc>
          <w:tcPr>
            <w:tcW w:w="1360" w:type="dxa"/>
            <w:vAlign w:val="bottom"/>
            <w:shd w:val="clear" w:color="auto" w:fill="42B6E9"/>
          </w:tcPr>
          <w:p>
            <w:pPr>
              <w:spacing w:after="0"/>
              <w:rPr>
                <w:sz w:val="14"/>
                <w:szCs w:val="14"/>
                <w:color w:val="auto"/>
              </w:rPr>
            </w:pPr>
          </w:p>
        </w:tc>
        <w:tc>
          <w:tcPr>
            <w:tcW w:w="1200" w:type="dxa"/>
            <w:vAlign w:val="bottom"/>
            <w:shd w:val="clear" w:color="auto" w:fill="42B6E9"/>
          </w:tcPr>
          <w:p>
            <w:pPr>
              <w:spacing w:after="0"/>
              <w:rPr>
                <w:sz w:val="14"/>
                <w:szCs w:val="14"/>
                <w:color w:val="auto"/>
              </w:rPr>
            </w:pPr>
          </w:p>
        </w:tc>
        <w:tc>
          <w:tcPr>
            <w:tcW w:w="1080" w:type="dxa"/>
            <w:vAlign w:val="bottom"/>
            <w:shd w:val="clear" w:color="auto" w:fill="42B6E9"/>
          </w:tcPr>
          <w:p>
            <w:pPr>
              <w:spacing w:after="0"/>
              <w:rPr>
                <w:sz w:val="14"/>
                <w:szCs w:val="14"/>
                <w:color w:val="auto"/>
              </w:rPr>
            </w:pPr>
          </w:p>
        </w:tc>
        <w:tc>
          <w:tcPr>
            <w:tcW w:w="860" w:type="dxa"/>
            <w:vAlign w:val="bottom"/>
            <w:shd w:val="clear" w:color="auto" w:fill="42B6E9"/>
          </w:tcPr>
          <w:p>
            <w:pPr>
              <w:spacing w:after="0"/>
              <w:rPr>
                <w:sz w:val="14"/>
                <w:szCs w:val="14"/>
                <w:color w:val="auto"/>
              </w:rPr>
            </w:pPr>
          </w:p>
        </w:tc>
        <w:tc>
          <w:tcPr>
            <w:tcW w:w="740" w:type="dxa"/>
            <w:vAlign w:val="bottom"/>
            <w:shd w:val="clear" w:color="auto" w:fill="42B6E9"/>
          </w:tcPr>
          <w:p>
            <w:pPr>
              <w:spacing w:after="0"/>
              <w:rPr>
                <w:sz w:val="14"/>
                <w:szCs w:val="14"/>
                <w:color w:val="auto"/>
              </w:rPr>
            </w:pPr>
          </w:p>
        </w:tc>
        <w:tc>
          <w:tcPr>
            <w:tcW w:w="1100" w:type="dxa"/>
            <w:vAlign w:val="bottom"/>
            <w:shd w:val="clear" w:color="auto" w:fill="42B6E9"/>
          </w:tcPr>
          <w:p>
            <w:pPr>
              <w:spacing w:after="0"/>
              <w:rPr>
                <w:sz w:val="14"/>
                <w:szCs w:val="14"/>
                <w:color w:val="auto"/>
              </w:rPr>
            </w:pPr>
          </w:p>
        </w:tc>
        <w:tc>
          <w:tcPr>
            <w:tcW w:w="880" w:type="dxa"/>
            <w:vAlign w:val="bottom"/>
            <w:shd w:val="clear" w:color="auto" w:fill="42B6E9"/>
          </w:tcPr>
          <w:p>
            <w:pPr>
              <w:spacing w:after="0"/>
              <w:rPr>
                <w:sz w:val="14"/>
                <w:szCs w:val="14"/>
                <w:color w:val="auto"/>
              </w:rPr>
            </w:pPr>
          </w:p>
        </w:tc>
        <w:tc>
          <w:tcPr>
            <w:tcW w:w="120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Awards:</w:t>
            </w:r>
          </w:p>
        </w:tc>
        <w:tc>
          <w:tcPr>
            <w:tcW w:w="114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Market or</w:t>
            </w:r>
          </w:p>
        </w:tc>
      </w:tr>
      <w:tr>
        <w:trPr>
          <w:trHeight w:val="162"/>
        </w:trPr>
        <w:tc>
          <w:tcPr>
            <w:tcW w:w="1360" w:type="dxa"/>
            <w:vAlign w:val="bottom"/>
            <w:shd w:val="clear" w:color="auto" w:fill="42B6E9"/>
          </w:tcPr>
          <w:p>
            <w:pPr>
              <w:spacing w:after="0"/>
              <w:rPr>
                <w:sz w:val="14"/>
                <w:szCs w:val="14"/>
                <w:color w:val="auto"/>
              </w:rPr>
            </w:pPr>
          </w:p>
        </w:tc>
        <w:tc>
          <w:tcPr>
            <w:tcW w:w="1200" w:type="dxa"/>
            <w:vAlign w:val="bottom"/>
            <w:shd w:val="clear" w:color="auto" w:fill="42B6E9"/>
          </w:tcPr>
          <w:p>
            <w:pPr>
              <w:spacing w:after="0"/>
              <w:rPr>
                <w:sz w:val="14"/>
                <w:szCs w:val="14"/>
                <w:color w:val="auto"/>
              </w:rPr>
            </w:pPr>
          </w:p>
        </w:tc>
        <w:tc>
          <w:tcPr>
            <w:tcW w:w="1080" w:type="dxa"/>
            <w:vAlign w:val="bottom"/>
            <w:shd w:val="clear" w:color="auto" w:fill="42B6E9"/>
          </w:tcPr>
          <w:p>
            <w:pPr>
              <w:spacing w:after="0"/>
              <w:rPr>
                <w:sz w:val="14"/>
                <w:szCs w:val="14"/>
                <w:color w:val="auto"/>
              </w:rPr>
            </w:pPr>
          </w:p>
        </w:tc>
        <w:tc>
          <w:tcPr>
            <w:tcW w:w="860" w:type="dxa"/>
            <w:vAlign w:val="bottom"/>
            <w:shd w:val="clear" w:color="auto" w:fill="42B6E9"/>
          </w:tcPr>
          <w:p>
            <w:pPr>
              <w:spacing w:after="0"/>
              <w:rPr>
                <w:sz w:val="14"/>
                <w:szCs w:val="14"/>
                <w:color w:val="auto"/>
              </w:rPr>
            </w:pPr>
          </w:p>
        </w:tc>
        <w:tc>
          <w:tcPr>
            <w:tcW w:w="740" w:type="dxa"/>
            <w:vAlign w:val="bottom"/>
            <w:shd w:val="clear" w:color="auto" w:fill="42B6E9"/>
          </w:tcPr>
          <w:p>
            <w:pPr>
              <w:spacing w:after="0"/>
              <w:rPr>
                <w:sz w:val="14"/>
                <w:szCs w:val="14"/>
                <w:color w:val="auto"/>
              </w:rPr>
            </w:pPr>
          </w:p>
        </w:tc>
        <w:tc>
          <w:tcPr>
            <w:tcW w:w="1100" w:type="dxa"/>
            <w:vAlign w:val="bottom"/>
            <w:shd w:val="clear" w:color="auto" w:fill="42B6E9"/>
          </w:tcPr>
          <w:p>
            <w:pPr>
              <w:spacing w:after="0"/>
              <w:rPr>
                <w:sz w:val="14"/>
                <w:szCs w:val="14"/>
                <w:color w:val="auto"/>
              </w:rPr>
            </w:pPr>
          </w:p>
        </w:tc>
        <w:tc>
          <w:tcPr>
            <w:tcW w:w="88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Market</w:t>
            </w:r>
          </w:p>
        </w:tc>
        <w:tc>
          <w:tcPr>
            <w:tcW w:w="120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Number of</w:t>
            </w:r>
          </w:p>
        </w:tc>
        <w:tc>
          <w:tcPr>
            <w:tcW w:w="1140" w:type="dxa"/>
            <w:vAlign w:val="bottom"/>
            <w:shd w:val="clear" w:color="auto" w:fill="42B6E9"/>
          </w:tcPr>
          <w:p>
            <w:pPr>
              <w:jc w:val="center"/>
              <w:ind w:right="3"/>
              <w:spacing w:after="0"/>
              <w:rPr>
                <w:sz w:val="20"/>
                <w:szCs w:val="20"/>
                <w:color w:val="auto"/>
              </w:rPr>
            </w:pPr>
            <w:r>
              <w:rPr>
                <w:rFonts w:ascii="Arial" w:cs="Arial" w:eastAsia="Arial" w:hAnsi="Arial"/>
                <w:sz w:val="14"/>
                <w:szCs w:val="14"/>
                <w:b w:val="1"/>
                <w:bCs w:val="1"/>
                <w:color w:val="FFFFFF"/>
              </w:rPr>
              <w:t>Payout Value</w:t>
            </w:r>
          </w:p>
        </w:tc>
      </w:tr>
      <w:tr>
        <w:trPr>
          <w:trHeight w:val="162"/>
        </w:trPr>
        <w:tc>
          <w:tcPr>
            <w:tcW w:w="1360" w:type="dxa"/>
            <w:vAlign w:val="bottom"/>
            <w:shd w:val="clear" w:color="auto" w:fill="42B6E9"/>
          </w:tcPr>
          <w:p>
            <w:pPr>
              <w:spacing w:after="0"/>
              <w:rPr>
                <w:sz w:val="14"/>
                <w:szCs w:val="14"/>
                <w:color w:val="auto"/>
              </w:rPr>
            </w:pPr>
          </w:p>
        </w:tc>
        <w:tc>
          <w:tcPr>
            <w:tcW w:w="1200" w:type="dxa"/>
            <w:vAlign w:val="bottom"/>
            <w:shd w:val="clear" w:color="auto" w:fill="42B6E9"/>
          </w:tcPr>
          <w:p>
            <w:pPr>
              <w:spacing w:after="0"/>
              <w:rPr>
                <w:sz w:val="14"/>
                <w:szCs w:val="14"/>
                <w:color w:val="auto"/>
              </w:rPr>
            </w:pPr>
          </w:p>
        </w:tc>
        <w:tc>
          <w:tcPr>
            <w:tcW w:w="1080" w:type="dxa"/>
            <w:vAlign w:val="bottom"/>
            <w:shd w:val="clear" w:color="auto" w:fill="42B6E9"/>
          </w:tcPr>
          <w:p>
            <w:pPr>
              <w:jc w:val="center"/>
              <w:ind w:left="1"/>
              <w:spacing w:after="0"/>
              <w:rPr>
                <w:sz w:val="20"/>
                <w:szCs w:val="20"/>
                <w:color w:val="auto"/>
              </w:rPr>
            </w:pPr>
            <w:r>
              <w:rPr>
                <w:rFonts w:ascii="Arial" w:cs="Arial" w:eastAsia="Arial" w:hAnsi="Arial"/>
                <w:sz w:val="14"/>
                <w:szCs w:val="14"/>
                <w:b w:val="1"/>
                <w:bCs w:val="1"/>
                <w:color w:val="FFFFFF"/>
              </w:rPr>
              <w:t>Number of</w:t>
            </w:r>
          </w:p>
        </w:tc>
        <w:tc>
          <w:tcPr>
            <w:tcW w:w="860" w:type="dxa"/>
            <w:vAlign w:val="bottom"/>
            <w:shd w:val="clear" w:color="auto" w:fill="42B6E9"/>
          </w:tcPr>
          <w:p>
            <w:pPr>
              <w:spacing w:after="0"/>
              <w:rPr>
                <w:sz w:val="14"/>
                <w:szCs w:val="14"/>
                <w:color w:val="auto"/>
              </w:rPr>
            </w:pPr>
          </w:p>
        </w:tc>
        <w:tc>
          <w:tcPr>
            <w:tcW w:w="740" w:type="dxa"/>
            <w:vAlign w:val="bottom"/>
            <w:shd w:val="clear" w:color="auto" w:fill="42B6E9"/>
          </w:tcPr>
          <w:p>
            <w:pPr>
              <w:spacing w:after="0"/>
              <w:rPr>
                <w:sz w:val="14"/>
                <w:szCs w:val="14"/>
                <w:color w:val="auto"/>
              </w:rPr>
            </w:pPr>
          </w:p>
        </w:tc>
        <w:tc>
          <w:tcPr>
            <w:tcW w:w="110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88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Value of</w:t>
            </w:r>
          </w:p>
        </w:tc>
        <w:tc>
          <w:tcPr>
            <w:tcW w:w="120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Unearned</w:t>
            </w:r>
          </w:p>
        </w:tc>
        <w:tc>
          <w:tcPr>
            <w:tcW w:w="114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of Unearned</w:t>
            </w:r>
          </w:p>
        </w:tc>
      </w:tr>
      <w:tr>
        <w:trPr>
          <w:trHeight w:val="162"/>
        </w:trPr>
        <w:tc>
          <w:tcPr>
            <w:tcW w:w="1360" w:type="dxa"/>
            <w:vAlign w:val="bottom"/>
            <w:shd w:val="clear" w:color="auto" w:fill="42B6E9"/>
          </w:tcPr>
          <w:p>
            <w:pPr>
              <w:spacing w:after="0"/>
              <w:rPr>
                <w:sz w:val="14"/>
                <w:szCs w:val="14"/>
                <w:color w:val="auto"/>
              </w:rPr>
            </w:pPr>
          </w:p>
        </w:tc>
        <w:tc>
          <w:tcPr>
            <w:tcW w:w="1200" w:type="dxa"/>
            <w:vAlign w:val="bottom"/>
            <w:shd w:val="clear" w:color="auto" w:fill="42B6E9"/>
          </w:tcPr>
          <w:p>
            <w:pPr>
              <w:spacing w:after="0"/>
              <w:rPr>
                <w:sz w:val="14"/>
                <w:szCs w:val="14"/>
                <w:color w:val="auto"/>
              </w:rPr>
            </w:pPr>
          </w:p>
        </w:tc>
        <w:tc>
          <w:tcPr>
            <w:tcW w:w="1080" w:type="dxa"/>
            <w:vAlign w:val="bottom"/>
            <w:shd w:val="clear" w:color="auto" w:fill="42B6E9"/>
          </w:tcPr>
          <w:p>
            <w:pPr>
              <w:jc w:val="center"/>
              <w:ind w:left="1"/>
              <w:spacing w:after="0"/>
              <w:rPr>
                <w:sz w:val="20"/>
                <w:szCs w:val="20"/>
                <w:color w:val="auto"/>
              </w:rPr>
            </w:pPr>
            <w:r>
              <w:rPr>
                <w:rFonts w:ascii="Arial" w:cs="Arial" w:eastAsia="Arial" w:hAnsi="Arial"/>
                <w:sz w:val="14"/>
                <w:szCs w:val="14"/>
                <w:b w:val="1"/>
                <w:bCs w:val="1"/>
                <w:color w:val="FFFFFF"/>
              </w:rPr>
              <w:t>Securities</w:t>
            </w:r>
          </w:p>
        </w:tc>
        <w:tc>
          <w:tcPr>
            <w:tcW w:w="860" w:type="dxa"/>
            <w:vAlign w:val="bottom"/>
            <w:shd w:val="clear" w:color="auto" w:fill="42B6E9"/>
          </w:tcPr>
          <w:p>
            <w:pPr>
              <w:spacing w:after="0"/>
              <w:rPr>
                <w:sz w:val="14"/>
                <w:szCs w:val="14"/>
                <w:color w:val="auto"/>
              </w:rPr>
            </w:pPr>
          </w:p>
        </w:tc>
        <w:tc>
          <w:tcPr>
            <w:tcW w:w="740" w:type="dxa"/>
            <w:vAlign w:val="bottom"/>
            <w:shd w:val="clear" w:color="auto" w:fill="42B6E9"/>
          </w:tcPr>
          <w:p>
            <w:pPr>
              <w:spacing w:after="0"/>
              <w:rPr>
                <w:sz w:val="14"/>
                <w:szCs w:val="14"/>
                <w:color w:val="auto"/>
              </w:rPr>
            </w:pPr>
          </w:p>
        </w:tc>
        <w:tc>
          <w:tcPr>
            <w:tcW w:w="110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Shares or</w:t>
            </w:r>
          </w:p>
        </w:tc>
        <w:tc>
          <w:tcPr>
            <w:tcW w:w="88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Shares or</w:t>
            </w:r>
          </w:p>
        </w:tc>
        <w:tc>
          <w:tcPr>
            <w:tcW w:w="120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Shares, Units</w:t>
            </w:r>
          </w:p>
        </w:tc>
        <w:tc>
          <w:tcPr>
            <w:tcW w:w="114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Shares, Units</w:t>
            </w:r>
          </w:p>
        </w:tc>
      </w:tr>
      <w:tr>
        <w:trPr>
          <w:trHeight w:val="162"/>
        </w:trPr>
        <w:tc>
          <w:tcPr>
            <w:tcW w:w="1360" w:type="dxa"/>
            <w:vAlign w:val="bottom"/>
            <w:shd w:val="clear" w:color="auto" w:fill="42B6E9"/>
          </w:tcPr>
          <w:p>
            <w:pPr>
              <w:spacing w:after="0"/>
              <w:rPr>
                <w:sz w:val="14"/>
                <w:szCs w:val="14"/>
                <w:color w:val="auto"/>
              </w:rPr>
            </w:pPr>
          </w:p>
        </w:tc>
        <w:tc>
          <w:tcPr>
            <w:tcW w:w="1200" w:type="dxa"/>
            <w:vAlign w:val="bottom"/>
            <w:shd w:val="clear" w:color="auto" w:fill="42B6E9"/>
          </w:tcPr>
          <w:p>
            <w:pPr>
              <w:spacing w:after="0"/>
              <w:rPr>
                <w:sz w:val="14"/>
                <w:szCs w:val="14"/>
                <w:color w:val="auto"/>
              </w:rPr>
            </w:pPr>
          </w:p>
        </w:tc>
        <w:tc>
          <w:tcPr>
            <w:tcW w:w="1080" w:type="dxa"/>
            <w:vAlign w:val="bottom"/>
            <w:shd w:val="clear" w:color="auto" w:fill="42B6E9"/>
          </w:tcPr>
          <w:p>
            <w:pPr>
              <w:jc w:val="center"/>
              <w:ind w:left="1"/>
              <w:spacing w:after="0"/>
              <w:rPr>
                <w:sz w:val="20"/>
                <w:szCs w:val="20"/>
                <w:color w:val="auto"/>
              </w:rPr>
            </w:pPr>
            <w:r>
              <w:rPr>
                <w:rFonts w:ascii="Arial" w:cs="Arial" w:eastAsia="Arial" w:hAnsi="Arial"/>
                <w:sz w:val="14"/>
                <w:szCs w:val="14"/>
                <w:b w:val="1"/>
                <w:bCs w:val="1"/>
                <w:color w:val="FFFFFF"/>
              </w:rPr>
              <w:t>Underlying</w:t>
            </w:r>
          </w:p>
        </w:tc>
        <w:tc>
          <w:tcPr>
            <w:tcW w:w="860" w:type="dxa"/>
            <w:vAlign w:val="bottom"/>
            <w:shd w:val="clear" w:color="auto" w:fill="42B6E9"/>
          </w:tcPr>
          <w:p>
            <w:pPr>
              <w:spacing w:after="0"/>
              <w:rPr>
                <w:sz w:val="14"/>
                <w:szCs w:val="14"/>
                <w:color w:val="auto"/>
              </w:rPr>
            </w:pPr>
          </w:p>
        </w:tc>
        <w:tc>
          <w:tcPr>
            <w:tcW w:w="740" w:type="dxa"/>
            <w:vAlign w:val="bottom"/>
            <w:shd w:val="clear" w:color="auto" w:fill="42B6E9"/>
          </w:tcPr>
          <w:p>
            <w:pPr>
              <w:spacing w:after="0"/>
              <w:rPr>
                <w:sz w:val="14"/>
                <w:szCs w:val="14"/>
                <w:color w:val="auto"/>
              </w:rPr>
            </w:pPr>
          </w:p>
        </w:tc>
        <w:tc>
          <w:tcPr>
            <w:tcW w:w="110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Units of</w:t>
            </w:r>
          </w:p>
        </w:tc>
        <w:tc>
          <w:tcPr>
            <w:tcW w:w="88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Units of</w:t>
            </w:r>
          </w:p>
        </w:tc>
        <w:tc>
          <w:tcPr>
            <w:tcW w:w="120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or Other</w:t>
            </w:r>
          </w:p>
        </w:tc>
        <w:tc>
          <w:tcPr>
            <w:tcW w:w="114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or Other</w:t>
            </w:r>
          </w:p>
        </w:tc>
      </w:tr>
      <w:tr>
        <w:trPr>
          <w:trHeight w:val="162"/>
        </w:trPr>
        <w:tc>
          <w:tcPr>
            <w:tcW w:w="1360" w:type="dxa"/>
            <w:vAlign w:val="bottom"/>
            <w:shd w:val="clear" w:color="auto" w:fill="42B6E9"/>
          </w:tcPr>
          <w:p>
            <w:pPr>
              <w:spacing w:after="0"/>
              <w:rPr>
                <w:sz w:val="14"/>
                <w:szCs w:val="14"/>
                <w:color w:val="auto"/>
              </w:rPr>
            </w:pPr>
          </w:p>
        </w:tc>
        <w:tc>
          <w:tcPr>
            <w:tcW w:w="1200" w:type="dxa"/>
            <w:vAlign w:val="bottom"/>
            <w:shd w:val="clear" w:color="auto" w:fill="42B6E9"/>
          </w:tcPr>
          <w:p>
            <w:pPr>
              <w:spacing w:after="0"/>
              <w:rPr>
                <w:sz w:val="14"/>
                <w:szCs w:val="14"/>
                <w:color w:val="auto"/>
              </w:rPr>
            </w:pPr>
          </w:p>
        </w:tc>
        <w:tc>
          <w:tcPr>
            <w:tcW w:w="1080" w:type="dxa"/>
            <w:vAlign w:val="bottom"/>
            <w:shd w:val="clear" w:color="auto" w:fill="42B6E9"/>
          </w:tcPr>
          <w:p>
            <w:pPr>
              <w:jc w:val="right"/>
              <w:spacing w:after="0"/>
              <w:rPr>
                <w:sz w:val="20"/>
                <w:szCs w:val="20"/>
                <w:color w:val="auto"/>
              </w:rPr>
            </w:pPr>
            <w:r>
              <w:rPr>
                <w:rFonts w:ascii="Arial" w:cs="Arial" w:eastAsia="Arial" w:hAnsi="Arial"/>
                <w:sz w:val="14"/>
                <w:szCs w:val="14"/>
                <w:b w:val="1"/>
                <w:bCs w:val="1"/>
                <w:color w:val="FFFFFF"/>
              </w:rPr>
              <w:t>Unexercised</w:t>
            </w:r>
          </w:p>
        </w:tc>
        <w:tc>
          <w:tcPr>
            <w:tcW w:w="86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Option</w:t>
            </w:r>
          </w:p>
        </w:tc>
        <w:tc>
          <w:tcPr>
            <w:tcW w:w="740" w:type="dxa"/>
            <w:vAlign w:val="bottom"/>
            <w:shd w:val="clear" w:color="auto" w:fill="42B6E9"/>
          </w:tcPr>
          <w:p>
            <w:pPr>
              <w:spacing w:after="0"/>
              <w:rPr>
                <w:sz w:val="14"/>
                <w:szCs w:val="14"/>
                <w:color w:val="auto"/>
              </w:rPr>
            </w:pPr>
          </w:p>
        </w:tc>
        <w:tc>
          <w:tcPr>
            <w:tcW w:w="110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Stock that</w:t>
            </w:r>
          </w:p>
        </w:tc>
        <w:tc>
          <w:tcPr>
            <w:tcW w:w="88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Stock That</w:t>
            </w:r>
          </w:p>
        </w:tc>
        <w:tc>
          <w:tcPr>
            <w:tcW w:w="120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Rights That</w:t>
            </w:r>
          </w:p>
        </w:tc>
        <w:tc>
          <w:tcPr>
            <w:tcW w:w="114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Rights That</w:t>
            </w:r>
          </w:p>
        </w:tc>
      </w:tr>
      <w:tr>
        <w:trPr>
          <w:trHeight w:val="162"/>
        </w:trPr>
        <w:tc>
          <w:tcPr>
            <w:tcW w:w="1360" w:type="dxa"/>
            <w:vAlign w:val="bottom"/>
            <w:shd w:val="clear" w:color="auto" w:fill="42B6E9"/>
          </w:tcPr>
          <w:p>
            <w:pPr>
              <w:spacing w:after="0"/>
              <w:rPr>
                <w:sz w:val="14"/>
                <w:szCs w:val="14"/>
                <w:color w:val="auto"/>
              </w:rPr>
            </w:pPr>
          </w:p>
        </w:tc>
        <w:tc>
          <w:tcPr>
            <w:tcW w:w="120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Vesting</w:t>
            </w:r>
          </w:p>
        </w:tc>
        <w:tc>
          <w:tcPr>
            <w:tcW w:w="1080" w:type="dxa"/>
            <w:vAlign w:val="bottom"/>
            <w:shd w:val="clear" w:color="auto" w:fill="42B6E9"/>
          </w:tcPr>
          <w:p>
            <w:pPr>
              <w:jc w:val="center"/>
              <w:ind w:left="21"/>
              <w:spacing w:after="0"/>
              <w:rPr>
                <w:sz w:val="20"/>
                <w:szCs w:val="20"/>
                <w:color w:val="auto"/>
              </w:rPr>
            </w:pPr>
            <w:r>
              <w:rPr>
                <w:rFonts w:ascii="Arial" w:cs="Arial" w:eastAsia="Arial" w:hAnsi="Arial"/>
                <w:sz w:val="14"/>
                <w:szCs w:val="14"/>
                <w:b w:val="1"/>
                <w:bCs w:val="1"/>
                <w:color w:val="FFFFFF"/>
              </w:rPr>
              <w:t>Options</w:t>
            </w:r>
          </w:p>
        </w:tc>
        <w:tc>
          <w:tcPr>
            <w:tcW w:w="86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Exercise</w:t>
            </w:r>
          </w:p>
        </w:tc>
        <w:tc>
          <w:tcPr>
            <w:tcW w:w="740" w:type="dxa"/>
            <w:vAlign w:val="bottom"/>
            <w:shd w:val="clear" w:color="auto" w:fill="42B6E9"/>
          </w:tcPr>
          <w:p>
            <w:pPr>
              <w:jc w:val="right"/>
              <w:ind w:right="60"/>
              <w:spacing w:after="0"/>
              <w:rPr>
                <w:sz w:val="20"/>
                <w:szCs w:val="20"/>
                <w:color w:val="auto"/>
              </w:rPr>
            </w:pPr>
            <w:r>
              <w:rPr>
                <w:rFonts w:ascii="Arial" w:cs="Arial" w:eastAsia="Arial" w:hAnsi="Arial"/>
                <w:sz w:val="14"/>
                <w:szCs w:val="14"/>
                <w:b w:val="1"/>
                <w:bCs w:val="1"/>
                <w:color w:val="FFFFFF"/>
              </w:rPr>
              <w:t>Option</w:t>
            </w:r>
          </w:p>
        </w:tc>
        <w:tc>
          <w:tcPr>
            <w:tcW w:w="110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Have Not</w:t>
            </w:r>
          </w:p>
        </w:tc>
        <w:tc>
          <w:tcPr>
            <w:tcW w:w="88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Have Not</w:t>
            </w:r>
          </w:p>
        </w:tc>
        <w:tc>
          <w:tcPr>
            <w:tcW w:w="120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Have Not</w:t>
            </w:r>
          </w:p>
        </w:tc>
        <w:tc>
          <w:tcPr>
            <w:tcW w:w="1140" w:type="dxa"/>
            <w:vAlign w:val="bottom"/>
            <w:shd w:val="clear" w:color="auto" w:fill="42B6E9"/>
          </w:tcPr>
          <w:p>
            <w:pPr>
              <w:jc w:val="center"/>
              <w:ind w:right="3"/>
              <w:spacing w:after="0"/>
              <w:rPr>
                <w:sz w:val="20"/>
                <w:szCs w:val="20"/>
                <w:color w:val="auto"/>
              </w:rPr>
            </w:pPr>
            <w:r>
              <w:rPr>
                <w:rFonts w:ascii="Arial" w:cs="Arial" w:eastAsia="Arial" w:hAnsi="Arial"/>
                <w:sz w:val="14"/>
                <w:szCs w:val="14"/>
                <w:b w:val="1"/>
                <w:bCs w:val="1"/>
                <w:color w:val="FFFFFF"/>
              </w:rPr>
              <w:t>Have Not</w:t>
            </w:r>
          </w:p>
        </w:tc>
      </w:tr>
      <w:tr>
        <w:trPr>
          <w:trHeight w:val="148"/>
        </w:trPr>
        <w:tc>
          <w:tcPr>
            <w:tcW w:w="1360" w:type="dxa"/>
            <w:vAlign w:val="bottom"/>
            <w:shd w:val="clear" w:color="auto" w:fill="42B6E9"/>
          </w:tcPr>
          <w:p>
            <w:pPr>
              <w:spacing w:after="0"/>
              <w:rPr>
                <w:sz w:val="12"/>
                <w:szCs w:val="12"/>
                <w:color w:val="auto"/>
              </w:rPr>
            </w:pPr>
          </w:p>
        </w:tc>
        <w:tc>
          <w:tcPr>
            <w:tcW w:w="1200" w:type="dxa"/>
            <w:vAlign w:val="bottom"/>
            <w:shd w:val="clear" w:color="auto" w:fill="42B6E9"/>
          </w:tcPr>
          <w:p>
            <w:pPr>
              <w:jc w:val="center"/>
              <w:spacing w:after="0" w:line="148" w:lineRule="exact"/>
              <w:rPr>
                <w:sz w:val="20"/>
                <w:szCs w:val="20"/>
                <w:color w:val="auto"/>
              </w:rPr>
            </w:pPr>
            <w:r>
              <w:rPr>
                <w:rFonts w:ascii="Arial" w:cs="Arial" w:eastAsia="Arial" w:hAnsi="Arial"/>
                <w:sz w:val="14"/>
                <w:szCs w:val="14"/>
                <w:b w:val="1"/>
                <w:bCs w:val="1"/>
                <w:color w:val="FFFFFF"/>
              </w:rPr>
              <w:t>Commencement</w:t>
            </w:r>
          </w:p>
        </w:tc>
        <w:tc>
          <w:tcPr>
            <w:tcW w:w="1080" w:type="dxa"/>
            <w:vAlign w:val="bottom"/>
            <w:shd w:val="clear" w:color="auto" w:fill="42B6E9"/>
          </w:tcPr>
          <w:p>
            <w:pPr>
              <w:jc w:val="center"/>
              <w:ind w:left="1"/>
              <w:spacing w:after="0" w:line="148" w:lineRule="exact"/>
              <w:rPr>
                <w:sz w:val="20"/>
                <w:szCs w:val="20"/>
                <w:color w:val="auto"/>
              </w:rPr>
            </w:pPr>
            <w:r>
              <w:rPr>
                <w:rFonts w:ascii="Arial" w:cs="Arial" w:eastAsia="Arial" w:hAnsi="Arial"/>
                <w:sz w:val="14"/>
                <w:szCs w:val="14"/>
                <w:b w:val="1"/>
                <w:bCs w:val="1"/>
                <w:color w:val="FFFFFF"/>
              </w:rPr>
              <w:t>Exercisable</w:t>
            </w:r>
          </w:p>
        </w:tc>
        <w:tc>
          <w:tcPr>
            <w:tcW w:w="860" w:type="dxa"/>
            <w:vAlign w:val="bottom"/>
            <w:shd w:val="clear" w:color="auto" w:fill="42B6E9"/>
          </w:tcPr>
          <w:p>
            <w:pPr>
              <w:jc w:val="center"/>
              <w:spacing w:after="0" w:line="148" w:lineRule="exact"/>
              <w:rPr>
                <w:sz w:val="20"/>
                <w:szCs w:val="20"/>
                <w:color w:val="auto"/>
              </w:rPr>
            </w:pPr>
            <w:r>
              <w:rPr>
                <w:rFonts w:ascii="Arial" w:cs="Arial" w:eastAsia="Arial" w:hAnsi="Arial"/>
                <w:sz w:val="14"/>
                <w:szCs w:val="14"/>
                <w:b w:val="1"/>
                <w:bCs w:val="1"/>
                <w:color w:val="FFFFFF"/>
              </w:rPr>
              <w:t>Price</w:t>
            </w:r>
          </w:p>
        </w:tc>
        <w:tc>
          <w:tcPr>
            <w:tcW w:w="740" w:type="dxa"/>
            <w:vAlign w:val="bottom"/>
            <w:shd w:val="clear" w:color="auto" w:fill="42B6E9"/>
          </w:tcPr>
          <w:p>
            <w:pPr>
              <w:jc w:val="right"/>
              <w:spacing w:after="0" w:line="148" w:lineRule="exact"/>
              <w:rPr>
                <w:sz w:val="20"/>
                <w:szCs w:val="20"/>
                <w:color w:val="auto"/>
              </w:rPr>
            </w:pPr>
            <w:r>
              <w:rPr>
                <w:rFonts w:ascii="Arial" w:cs="Arial" w:eastAsia="Arial" w:hAnsi="Arial"/>
                <w:sz w:val="14"/>
                <w:szCs w:val="14"/>
                <w:b w:val="1"/>
                <w:bCs w:val="1"/>
                <w:color w:val="FFFFFF"/>
              </w:rPr>
              <w:t>Expiration</w:t>
            </w:r>
          </w:p>
        </w:tc>
        <w:tc>
          <w:tcPr>
            <w:tcW w:w="1100" w:type="dxa"/>
            <w:vAlign w:val="bottom"/>
            <w:shd w:val="clear" w:color="auto" w:fill="42B6E9"/>
          </w:tcPr>
          <w:p>
            <w:pPr>
              <w:jc w:val="center"/>
              <w:spacing w:after="0" w:line="148" w:lineRule="exact"/>
              <w:rPr>
                <w:sz w:val="20"/>
                <w:szCs w:val="20"/>
                <w:color w:val="auto"/>
              </w:rPr>
            </w:pPr>
            <w:r>
              <w:rPr>
                <w:rFonts w:ascii="Arial" w:cs="Arial" w:eastAsia="Arial" w:hAnsi="Arial"/>
                <w:sz w:val="14"/>
                <w:szCs w:val="14"/>
                <w:b w:val="1"/>
                <w:bCs w:val="1"/>
                <w:color w:val="FFFFFF"/>
              </w:rPr>
              <w:t>Vested</w:t>
            </w:r>
          </w:p>
        </w:tc>
        <w:tc>
          <w:tcPr>
            <w:tcW w:w="880" w:type="dxa"/>
            <w:vAlign w:val="bottom"/>
            <w:shd w:val="clear" w:color="auto" w:fill="42B6E9"/>
          </w:tcPr>
          <w:p>
            <w:pPr>
              <w:jc w:val="center"/>
              <w:ind w:left="22"/>
              <w:spacing w:after="0" w:line="148" w:lineRule="exact"/>
              <w:rPr>
                <w:sz w:val="20"/>
                <w:szCs w:val="20"/>
                <w:color w:val="auto"/>
              </w:rPr>
            </w:pPr>
            <w:r>
              <w:rPr>
                <w:rFonts w:ascii="Arial" w:cs="Arial" w:eastAsia="Arial" w:hAnsi="Arial"/>
                <w:sz w:val="14"/>
                <w:szCs w:val="14"/>
                <w:b w:val="1"/>
                <w:bCs w:val="1"/>
                <w:color w:val="FFFFFF"/>
              </w:rPr>
              <w:t>Vested</w:t>
            </w:r>
          </w:p>
        </w:tc>
        <w:tc>
          <w:tcPr>
            <w:tcW w:w="1200" w:type="dxa"/>
            <w:vAlign w:val="bottom"/>
            <w:shd w:val="clear" w:color="auto" w:fill="42B6E9"/>
          </w:tcPr>
          <w:p>
            <w:pPr>
              <w:jc w:val="center"/>
              <w:spacing w:after="0" w:line="148" w:lineRule="exact"/>
              <w:rPr>
                <w:sz w:val="20"/>
                <w:szCs w:val="20"/>
                <w:color w:val="auto"/>
              </w:rPr>
            </w:pPr>
            <w:r>
              <w:rPr>
                <w:rFonts w:ascii="Arial" w:cs="Arial" w:eastAsia="Arial" w:hAnsi="Arial"/>
                <w:sz w:val="14"/>
                <w:szCs w:val="14"/>
                <w:b w:val="1"/>
                <w:bCs w:val="1"/>
                <w:color w:val="FFFFFF"/>
              </w:rPr>
              <w:t>Vested</w:t>
            </w:r>
          </w:p>
        </w:tc>
        <w:tc>
          <w:tcPr>
            <w:tcW w:w="1140" w:type="dxa"/>
            <w:vAlign w:val="bottom"/>
            <w:shd w:val="clear" w:color="auto" w:fill="42B6E9"/>
          </w:tcPr>
          <w:p>
            <w:pPr>
              <w:jc w:val="center"/>
              <w:spacing w:after="0" w:line="148" w:lineRule="exact"/>
              <w:rPr>
                <w:sz w:val="20"/>
                <w:szCs w:val="20"/>
                <w:color w:val="auto"/>
              </w:rPr>
            </w:pPr>
            <w:r>
              <w:rPr>
                <w:rFonts w:ascii="Arial" w:cs="Arial" w:eastAsia="Arial" w:hAnsi="Arial"/>
                <w:sz w:val="14"/>
                <w:szCs w:val="14"/>
                <w:b w:val="1"/>
                <w:bCs w:val="1"/>
                <w:color w:val="FFFFFF"/>
              </w:rPr>
              <w:t>Vested</w:t>
            </w:r>
          </w:p>
        </w:tc>
      </w:tr>
      <w:tr>
        <w:trPr>
          <w:trHeight w:val="283"/>
        </w:trPr>
        <w:tc>
          <w:tcPr>
            <w:tcW w:w="1360" w:type="dxa"/>
            <w:vAlign w:val="bottom"/>
            <w:shd w:val="clear" w:color="auto" w:fill="42B6E9"/>
          </w:tcPr>
          <w:p>
            <w:pPr>
              <w:ind w:left="60"/>
              <w:spacing w:after="0"/>
              <w:rPr>
                <w:sz w:val="20"/>
                <w:szCs w:val="20"/>
                <w:color w:val="auto"/>
              </w:rPr>
            </w:pPr>
            <w:r>
              <w:rPr>
                <w:rFonts w:ascii="Arial" w:cs="Arial" w:eastAsia="Arial" w:hAnsi="Arial"/>
                <w:sz w:val="14"/>
                <w:szCs w:val="14"/>
                <w:b w:val="1"/>
                <w:bCs w:val="1"/>
                <w:color w:val="FFFFFF"/>
              </w:rPr>
              <w:t>Name</w:t>
            </w:r>
          </w:p>
        </w:tc>
        <w:tc>
          <w:tcPr>
            <w:tcW w:w="120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Date</w:t>
            </w:r>
          </w:p>
        </w:tc>
        <w:tc>
          <w:tcPr>
            <w:tcW w:w="1080" w:type="dxa"/>
            <w:vAlign w:val="bottom"/>
            <w:shd w:val="clear" w:color="auto" w:fill="42B6E9"/>
          </w:tcPr>
          <w:p>
            <w:pPr>
              <w:jc w:val="center"/>
              <w:ind w:left="61"/>
              <w:spacing w:after="0"/>
              <w:rPr>
                <w:sz w:val="20"/>
                <w:szCs w:val="20"/>
                <w:color w:val="auto"/>
              </w:rPr>
            </w:pPr>
            <w:r>
              <w:rPr>
                <w:rFonts w:ascii="Arial" w:cs="Arial" w:eastAsia="Arial" w:hAnsi="Arial"/>
                <w:sz w:val="14"/>
                <w:szCs w:val="14"/>
                <w:b w:val="1"/>
                <w:bCs w:val="1"/>
                <w:color w:val="FFFFFF"/>
              </w:rPr>
              <w:t>(#)</w:t>
            </w:r>
          </w:p>
        </w:tc>
        <w:tc>
          <w:tcPr>
            <w:tcW w:w="86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w:t>
            </w:r>
          </w:p>
        </w:tc>
        <w:tc>
          <w:tcPr>
            <w:tcW w:w="740" w:type="dxa"/>
            <w:vAlign w:val="bottom"/>
            <w:shd w:val="clear" w:color="auto" w:fill="42B6E9"/>
          </w:tcPr>
          <w:p>
            <w:pPr>
              <w:jc w:val="right"/>
              <w:ind w:right="120"/>
              <w:spacing w:after="0"/>
              <w:rPr>
                <w:sz w:val="20"/>
                <w:szCs w:val="20"/>
                <w:color w:val="auto"/>
              </w:rPr>
            </w:pPr>
            <w:r>
              <w:rPr>
                <w:rFonts w:ascii="Arial" w:cs="Arial" w:eastAsia="Arial" w:hAnsi="Arial"/>
                <w:sz w:val="14"/>
                <w:szCs w:val="14"/>
                <w:b w:val="1"/>
                <w:bCs w:val="1"/>
                <w:color w:val="FFFFFF"/>
              </w:rPr>
              <w:t>Date</w:t>
            </w:r>
          </w:p>
        </w:tc>
        <w:tc>
          <w:tcPr>
            <w:tcW w:w="1100" w:type="dxa"/>
            <w:vAlign w:val="bottom"/>
            <w:shd w:val="clear" w:color="auto" w:fill="42B6E9"/>
          </w:tcPr>
          <w:p>
            <w:pPr>
              <w:jc w:val="center"/>
              <w:ind w:left="2"/>
              <w:spacing w:after="0" w:line="284" w:lineRule="exact"/>
              <w:rPr>
                <w:sz w:val="20"/>
                <w:szCs w:val="20"/>
                <w:color w:val="auto"/>
              </w:rPr>
            </w:pPr>
            <w:r>
              <w:rPr>
                <w:rFonts w:ascii="Arial" w:cs="Arial" w:eastAsia="Arial" w:hAnsi="Arial"/>
                <w:sz w:val="28"/>
                <w:szCs w:val="28"/>
                <w:b w:val="1"/>
                <w:bCs w:val="1"/>
                <w:color w:val="FFFFFF"/>
                <w:w w:val="90"/>
                <w:vertAlign w:val="subscript"/>
              </w:rPr>
              <w:t>(#)</w:t>
            </w:r>
            <w:r>
              <w:rPr>
                <w:rFonts w:ascii="Arial" w:cs="Arial" w:eastAsia="Arial" w:hAnsi="Arial"/>
                <w:sz w:val="12"/>
                <w:szCs w:val="12"/>
                <w:b w:val="1"/>
                <w:bCs w:val="1"/>
                <w:color w:val="FFFFFF"/>
                <w:w w:val="90"/>
              </w:rPr>
              <w:t>(1)</w:t>
            </w:r>
          </w:p>
        </w:tc>
        <w:tc>
          <w:tcPr>
            <w:tcW w:w="880" w:type="dxa"/>
            <w:vAlign w:val="bottom"/>
            <w:shd w:val="clear" w:color="auto" w:fill="42B6E9"/>
          </w:tcPr>
          <w:p>
            <w:pPr>
              <w:jc w:val="center"/>
              <w:ind w:left="22"/>
              <w:spacing w:after="0" w:line="284" w:lineRule="exact"/>
              <w:rPr>
                <w:sz w:val="20"/>
                <w:szCs w:val="20"/>
                <w:color w:val="auto"/>
              </w:rPr>
            </w:pPr>
            <w:r>
              <w:rPr>
                <w:rFonts w:ascii="Arial" w:cs="Arial" w:eastAsia="Arial" w:hAnsi="Arial"/>
                <w:sz w:val="28"/>
                <w:szCs w:val="28"/>
                <w:b w:val="1"/>
                <w:bCs w:val="1"/>
                <w:color w:val="FFFFFF"/>
                <w:w w:val="84"/>
                <w:vertAlign w:val="subscript"/>
              </w:rPr>
              <w:t>($)</w:t>
            </w:r>
            <w:r>
              <w:rPr>
                <w:rFonts w:ascii="Arial" w:cs="Arial" w:eastAsia="Arial" w:hAnsi="Arial"/>
                <w:sz w:val="12"/>
                <w:szCs w:val="12"/>
                <w:b w:val="1"/>
                <w:bCs w:val="1"/>
                <w:color w:val="FFFFFF"/>
                <w:w w:val="84"/>
              </w:rPr>
              <w:t>(*)</w:t>
            </w:r>
          </w:p>
        </w:tc>
        <w:tc>
          <w:tcPr>
            <w:tcW w:w="1200" w:type="dxa"/>
            <w:vAlign w:val="bottom"/>
            <w:shd w:val="clear" w:color="auto" w:fill="42B6E9"/>
          </w:tcPr>
          <w:p>
            <w:pPr>
              <w:jc w:val="center"/>
              <w:ind w:left="2"/>
              <w:spacing w:after="0"/>
              <w:rPr>
                <w:sz w:val="20"/>
                <w:szCs w:val="20"/>
                <w:color w:val="auto"/>
              </w:rPr>
            </w:pPr>
            <w:r>
              <w:rPr>
                <w:rFonts w:ascii="Arial" w:cs="Arial" w:eastAsia="Arial" w:hAnsi="Arial"/>
                <w:sz w:val="14"/>
                <w:szCs w:val="14"/>
                <w:b w:val="1"/>
                <w:bCs w:val="1"/>
                <w:color w:val="FFFFFF"/>
                <w:w w:val="93"/>
              </w:rPr>
              <w:t>(#)</w:t>
            </w:r>
          </w:p>
        </w:tc>
        <w:tc>
          <w:tcPr>
            <w:tcW w:w="1140" w:type="dxa"/>
            <w:vAlign w:val="bottom"/>
            <w:shd w:val="clear" w:color="auto" w:fill="42B6E9"/>
          </w:tcPr>
          <w:p>
            <w:pPr>
              <w:jc w:val="center"/>
              <w:spacing w:after="0" w:line="284" w:lineRule="exact"/>
              <w:rPr>
                <w:sz w:val="20"/>
                <w:szCs w:val="20"/>
                <w:color w:val="auto"/>
              </w:rPr>
            </w:pPr>
            <w:r>
              <w:rPr>
                <w:rFonts w:ascii="Arial" w:cs="Arial" w:eastAsia="Arial" w:hAnsi="Arial"/>
                <w:sz w:val="28"/>
                <w:szCs w:val="28"/>
                <w:b w:val="1"/>
                <w:bCs w:val="1"/>
                <w:color w:val="FFFFFF"/>
                <w:w w:val="84"/>
                <w:vertAlign w:val="subscript"/>
              </w:rPr>
              <w:t>($)</w:t>
            </w:r>
            <w:r>
              <w:rPr>
                <w:rFonts w:ascii="Arial" w:cs="Arial" w:eastAsia="Arial" w:hAnsi="Arial"/>
                <w:sz w:val="12"/>
                <w:szCs w:val="12"/>
                <w:b w:val="1"/>
                <w:bCs w:val="1"/>
                <w:color w:val="FFFFFF"/>
                <w:w w:val="84"/>
              </w:rPr>
              <w:t>(*)</w:t>
            </w:r>
          </w:p>
        </w:tc>
      </w:tr>
      <w:tr>
        <w:trPr>
          <w:trHeight w:val="364"/>
        </w:trPr>
        <w:tc>
          <w:tcPr>
            <w:tcW w:w="136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Piotr Szulczewski</w:t>
            </w:r>
          </w:p>
        </w:tc>
        <w:tc>
          <w:tcPr>
            <w:tcW w:w="12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11/17/2013</w:t>
            </w:r>
          </w:p>
        </w:tc>
        <w:tc>
          <w:tcPr>
            <w:tcW w:w="10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8,375,000</w:t>
            </w:r>
            <w:r>
              <w:rPr>
                <w:rFonts w:ascii="Arial" w:cs="Arial" w:eastAsia="Arial" w:hAnsi="Arial"/>
                <w:sz w:val="26"/>
                <w:szCs w:val="26"/>
                <w:color w:val="42B6E9"/>
                <w:vertAlign w:val="superscript"/>
              </w:rPr>
              <w:t>(2)</w:t>
            </w:r>
          </w:p>
        </w:tc>
        <w:tc>
          <w:tcPr>
            <w:tcW w:w="860" w:type="dxa"/>
            <w:vAlign w:val="bottom"/>
            <w:shd w:val="clear" w:color="auto" w:fill="E9F8FD"/>
          </w:tcPr>
          <w:p>
            <w:pPr>
              <w:ind w:left="320"/>
              <w:spacing w:after="0"/>
              <w:rPr>
                <w:sz w:val="20"/>
                <w:szCs w:val="20"/>
                <w:color w:val="auto"/>
              </w:rPr>
            </w:pPr>
            <w:r>
              <w:rPr>
                <w:rFonts w:ascii="Arial" w:cs="Arial" w:eastAsia="Arial" w:hAnsi="Arial"/>
                <w:sz w:val="16"/>
                <w:szCs w:val="16"/>
                <w:color w:val="42B6E9"/>
              </w:rPr>
              <w:t>0.149</w:t>
            </w:r>
          </w:p>
        </w:tc>
        <w:tc>
          <w:tcPr>
            <w:tcW w:w="740" w:type="dxa"/>
            <w:vAlign w:val="bottom"/>
            <w:shd w:val="clear" w:color="auto" w:fill="E9F8FD"/>
          </w:tcPr>
          <w:p>
            <w:pPr>
              <w:jc w:val="right"/>
              <w:spacing w:after="0"/>
              <w:rPr>
                <w:sz w:val="20"/>
                <w:szCs w:val="20"/>
                <w:color w:val="auto"/>
              </w:rPr>
            </w:pPr>
            <w:r>
              <w:rPr>
                <w:rFonts w:ascii="Arial" w:cs="Arial" w:eastAsia="Arial" w:hAnsi="Arial"/>
                <w:sz w:val="16"/>
                <w:szCs w:val="16"/>
                <w:color w:val="42B6E9"/>
                <w:w w:val="98"/>
              </w:rPr>
              <w:t>4/15/2024</w:t>
            </w:r>
          </w:p>
        </w:tc>
        <w:tc>
          <w:tcPr>
            <w:tcW w:w="1100" w:type="dxa"/>
            <w:vAlign w:val="bottom"/>
            <w:shd w:val="clear" w:color="auto" w:fill="E9F8FD"/>
          </w:tcPr>
          <w:p>
            <w:pPr>
              <w:jc w:val="right"/>
              <w:ind w:right="62"/>
              <w:spacing w:after="0"/>
              <w:rPr>
                <w:sz w:val="20"/>
                <w:szCs w:val="20"/>
                <w:color w:val="auto"/>
              </w:rPr>
            </w:pPr>
            <w:r>
              <w:rPr>
                <w:rFonts w:ascii="Arial" w:cs="Arial" w:eastAsia="Arial" w:hAnsi="Arial"/>
                <w:sz w:val="16"/>
                <w:szCs w:val="16"/>
                <w:color w:val="42B6E9"/>
              </w:rPr>
              <w:t>—</w:t>
            </w:r>
          </w:p>
        </w:tc>
        <w:tc>
          <w:tcPr>
            <w:tcW w:w="8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1200" w:type="dxa"/>
            <w:vAlign w:val="bottom"/>
            <w:shd w:val="clear" w:color="auto" w:fill="E9F8FD"/>
          </w:tcPr>
          <w:p>
            <w:pPr>
              <w:ind w:left="880"/>
              <w:spacing w:after="0"/>
              <w:rPr>
                <w:sz w:val="20"/>
                <w:szCs w:val="20"/>
                <w:color w:val="auto"/>
              </w:rPr>
            </w:pPr>
            <w:r>
              <w:rPr>
                <w:rFonts w:ascii="Arial" w:cs="Arial" w:eastAsia="Arial" w:hAnsi="Arial"/>
                <w:sz w:val="16"/>
                <w:szCs w:val="16"/>
                <w:color w:val="42B6E9"/>
              </w:rPr>
              <w:t>—</w:t>
            </w:r>
          </w:p>
        </w:tc>
        <w:tc>
          <w:tcPr>
            <w:tcW w:w="1140" w:type="dxa"/>
            <w:vAlign w:val="bottom"/>
            <w:shd w:val="clear" w:color="auto" w:fill="E9F8FD"/>
          </w:tcPr>
          <w:p>
            <w:pPr>
              <w:jc w:val="right"/>
              <w:ind w:right="23"/>
              <w:spacing w:after="0"/>
              <w:rPr>
                <w:sz w:val="20"/>
                <w:szCs w:val="20"/>
                <w:color w:val="auto"/>
              </w:rPr>
            </w:pPr>
            <w:r>
              <w:rPr>
                <w:rFonts w:ascii="Arial" w:cs="Arial" w:eastAsia="Arial" w:hAnsi="Arial"/>
                <w:sz w:val="16"/>
                <w:szCs w:val="16"/>
                <w:color w:val="42B6E9"/>
              </w:rPr>
              <w:t>—</w:t>
            </w:r>
          </w:p>
        </w:tc>
      </w:tr>
      <w:tr>
        <w:trPr>
          <w:trHeight w:val="351"/>
        </w:trPr>
        <w:tc>
          <w:tcPr>
            <w:tcW w:w="1360" w:type="dxa"/>
            <w:vAlign w:val="bottom"/>
            <w:shd w:val="clear" w:color="auto" w:fill="E9F8FD"/>
          </w:tcPr>
          <w:p>
            <w:pPr>
              <w:spacing w:after="0"/>
              <w:rPr>
                <w:sz w:val="24"/>
                <w:szCs w:val="24"/>
                <w:color w:val="auto"/>
              </w:rPr>
            </w:pPr>
          </w:p>
        </w:tc>
        <w:tc>
          <w:tcPr>
            <w:tcW w:w="12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6/9/2014</w:t>
            </w:r>
          </w:p>
        </w:tc>
        <w:tc>
          <w:tcPr>
            <w:tcW w:w="10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35,000,000</w:t>
            </w:r>
            <w:r>
              <w:rPr>
                <w:rFonts w:ascii="Arial" w:cs="Arial" w:eastAsia="Arial" w:hAnsi="Arial"/>
                <w:sz w:val="26"/>
                <w:szCs w:val="26"/>
                <w:color w:val="42B6E9"/>
                <w:vertAlign w:val="superscript"/>
              </w:rPr>
              <w:t>(3)</w:t>
            </w:r>
          </w:p>
        </w:tc>
        <w:tc>
          <w:tcPr>
            <w:tcW w:w="860" w:type="dxa"/>
            <w:vAlign w:val="bottom"/>
            <w:shd w:val="clear" w:color="auto" w:fill="E9F8FD"/>
          </w:tcPr>
          <w:p>
            <w:pPr>
              <w:ind w:left="320"/>
              <w:spacing w:after="0"/>
              <w:rPr>
                <w:sz w:val="20"/>
                <w:szCs w:val="20"/>
                <w:color w:val="auto"/>
              </w:rPr>
            </w:pPr>
            <w:r>
              <w:rPr>
                <w:rFonts w:ascii="Arial" w:cs="Arial" w:eastAsia="Arial" w:hAnsi="Arial"/>
                <w:sz w:val="16"/>
                <w:szCs w:val="16"/>
                <w:color w:val="42B6E9"/>
              </w:rPr>
              <w:t>0.238</w:t>
            </w:r>
          </w:p>
        </w:tc>
        <w:tc>
          <w:tcPr>
            <w:tcW w:w="740" w:type="dxa"/>
            <w:vAlign w:val="bottom"/>
            <w:shd w:val="clear" w:color="auto" w:fill="E9F8FD"/>
          </w:tcPr>
          <w:p>
            <w:pPr>
              <w:jc w:val="right"/>
              <w:spacing w:after="0"/>
              <w:rPr>
                <w:sz w:val="20"/>
                <w:szCs w:val="20"/>
                <w:color w:val="auto"/>
              </w:rPr>
            </w:pPr>
            <w:r>
              <w:rPr>
                <w:rFonts w:ascii="Arial" w:cs="Arial" w:eastAsia="Arial" w:hAnsi="Arial"/>
                <w:sz w:val="16"/>
                <w:szCs w:val="16"/>
                <w:color w:val="42B6E9"/>
                <w:w w:val="98"/>
              </w:rPr>
              <w:t>8/11/2024</w:t>
            </w:r>
          </w:p>
        </w:tc>
        <w:tc>
          <w:tcPr>
            <w:tcW w:w="1100" w:type="dxa"/>
            <w:vAlign w:val="bottom"/>
            <w:shd w:val="clear" w:color="auto" w:fill="E9F8FD"/>
          </w:tcPr>
          <w:p>
            <w:pPr>
              <w:jc w:val="right"/>
              <w:ind w:right="62"/>
              <w:spacing w:after="0"/>
              <w:rPr>
                <w:sz w:val="20"/>
                <w:szCs w:val="20"/>
                <w:color w:val="auto"/>
              </w:rPr>
            </w:pPr>
            <w:r>
              <w:rPr>
                <w:rFonts w:ascii="Arial" w:cs="Arial" w:eastAsia="Arial" w:hAnsi="Arial"/>
                <w:sz w:val="16"/>
                <w:szCs w:val="16"/>
                <w:color w:val="42B6E9"/>
              </w:rPr>
              <w:t>—</w:t>
            </w:r>
          </w:p>
        </w:tc>
        <w:tc>
          <w:tcPr>
            <w:tcW w:w="8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1200" w:type="dxa"/>
            <w:vAlign w:val="bottom"/>
            <w:shd w:val="clear" w:color="auto" w:fill="E9F8FD"/>
          </w:tcPr>
          <w:p>
            <w:pPr>
              <w:ind w:left="880"/>
              <w:spacing w:after="0"/>
              <w:rPr>
                <w:sz w:val="20"/>
                <w:szCs w:val="20"/>
                <w:color w:val="auto"/>
              </w:rPr>
            </w:pPr>
            <w:r>
              <w:rPr>
                <w:rFonts w:ascii="Arial" w:cs="Arial" w:eastAsia="Arial" w:hAnsi="Arial"/>
                <w:sz w:val="16"/>
                <w:szCs w:val="16"/>
                <w:color w:val="42B6E9"/>
              </w:rPr>
              <w:t>—</w:t>
            </w:r>
          </w:p>
        </w:tc>
        <w:tc>
          <w:tcPr>
            <w:tcW w:w="1140" w:type="dxa"/>
            <w:vAlign w:val="bottom"/>
            <w:shd w:val="clear" w:color="auto" w:fill="E9F8FD"/>
          </w:tcPr>
          <w:p>
            <w:pPr>
              <w:jc w:val="right"/>
              <w:ind w:right="23"/>
              <w:spacing w:after="0"/>
              <w:rPr>
                <w:sz w:val="20"/>
                <w:szCs w:val="20"/>
                <w:color w:val="auto"/>
              </w:rPr>
            </w:pPr>
            <w:r>
              <w:rPr>
                <w:rFonts w:ascii="Arial" w:cs="Arial" w:eastAsia="Arial" w:hAnsi="Arial"/>
                <w:sz w:val="16"/>
                <w:szCs w:val="16"/>
                <w:color w:val="42B6E9"/>
              </w:rPr>
              <w:t>—</w:t>
            </w:r>
          </w:p>
        </w:tc>
      </w:tr>
      <w:tr>
        <w:trPr>
          <w:trHeight w:val="351"/>
        </w:trPr>
        <w:tc>
          <w:tcPr>
            <w:tcW w:w="1360" w:type="dxa"/>
            <w:vAlign w:val="bottom"/>
            <w:shd w:val="clear" w:color="auto" w:fill="E9F8FD"/>
          </w:tcPr>
          <w:p>
            <w:pPr>
              <w:spacing w:after="0"/>
              <w:rPr>
                <w:sz w:val="24"/>
                <w:szCs w:val="24"/>
                <w:color w:val="auto"/>
              </w:rPr>
            </w:pPr>
          </w:p>
        </w:tc>
        <w:tc>
          <w:tcPr>
            <w:tcW w:w="12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4/24/2017</w:t>
            </w:r>
          </w:p>
        </w:tc>
        <w:tc>
          <w:tcPr>
            <w:tcW w:w="10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860" w:type="dxa"/>
            <w:vAlign w:val="bottom"/>
            <w:shd w:val="clear" w:color="auto" w:fill="E9F8FD"/>
          </w:tcPr>
          <w:p>
            <w:pPr>
              <w:ind w:left="580"/>
              <w:spacing w:after="0"/>
              <w:rPr>
                <w:sz w:val="20"/>
                <w:szCs w:val="20"/>
                <w:color w:val="auto"/>
              </w:rPr>
            </w:pPr>
            <w:r>
              <w:rPr>
                <w:rFonts w:ascii="Arial" w:cs="Arial" w:eastAsia="Arial" w:hAnsi="Arial"/>
                <w:sz w:val="16"/>
                <w:szCs w:val="16"/>
                <w:color w:val="42B6E9"/>
              </w:rPr>
              <w:t>—</w:t>
            </w:r>
          </w:p>
        </w:tc>
        <w:tc>
          <w:tcPr>
            <w:tcW w:w="74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11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215,130</w:t>
            </w:r>
            <w:r>
              <w:rPr>
                <w:rFonts w:ascii="Arial" w:cs="Arial" w:eastAsia="Arial" w:hAnsi="Arial"/>
                <w:sz w:val="26"/>
                <w:szCs w:val="26"/>
                <w:color w:val="42B6E9"/>
                <w:vertAlign w:val="superscript"/>
              </w:rPr>
              <w:t>(4)</w:t>
            </w:r>
          </w:p>
        </w:tc>
        <w:tc>
          <w:tcPr>
            <w:tcW w:w="8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3,923,971</w:t>
            </w:r>
          </w:p>
        </w:tc>
        <w:tc>
          <w:tcPr>
            <w:tcW w:w="1200" w:type="dxa"/>
            <w:vAlign w:val="bottom"/>
            <w:shd w:val="clear" w:color="auto" w:fill="E9F8FD"/>
          </w:tcPr>
          <w:p>
            <w:pPr>
              <w:ind w:left="880"/>
              <w:spacing w:after="0"/>
              <w:rPr>
                <w:sz w:val="20"/>
                <w:szCs w:val="20"/>
                <w:color w:val="auto"/>
              </w:rPr>
            </w:pPr>
            <w:r>
              <w:rPr>
                <w:rFonts w:ascii="Arial" w:cs="Arial" w:eastAsia="Arial" w:hAnsi="Arial"/>
                <w:sz w:val="16"/>
                <w:szCs w:val="16"/>
                <w:color w:val="42B6E9"/>
              </w:rPr>
              <w:t>—</w:t>
            </w:r>
          </w:p>
        </w:tc>
        <w:tc>
          <w:tcPr>
            <w:tcW w:w="1140" w:type="dxa"/>
            <w:vAlign w:val="bottom"/>
            <w:shd w:val="clear" w:color="auto" w:fill="E9F8FD"/>
          </w:tcPr>
          <w:p>
            <w:pPr>
              <w:jc w:val="right"/>
              <w:ind w:right="23"/>
              <w:spacing w:after="0"/>
              <w:rPr>
                <w:sz w:val="20"/>
                <w:szCs w:val="20"/>
                <w:color w:val="auto"/>
              </w:rPr>
            </w:pPr>
            <w:r>
              <w:rPr>
                <w:rFonts w:ascii="Arial" w:cs="Arial" w:eastAsia="Arial" w:hAnsi="Arial"/>
                <w:sz w:val="16"/>
                <w:szCs w:val="16"/>
                <w:color w:val="42B6E9"/>
              </w:rPr>
              <w:t>—</w:t>
            </w:r>
          </w:p>
        </w:tc>
      </w:tr>
      <w:tr>
        <w:trPr>
          <w:trHeight w:val="351"/>
        </w:trPr>
        <w:tc>
          <w:tcPr>
            <w:tcW w:w="1360" w:type="dxa"/>
            <w:vAlign w:val="bottom"/>
            <w:shd w:val="clear" w:color="auto" w:fill="E9F8FD"/>
          </w:tcPr>
          <w:p>
            <w:pPr>
              <w:spacing w:after="0"/>
              <w:rPr>
                <w:sz w:val="24"/>
                <w:szCs w:val="24"/>
                <w:color w:val="auto"/>
              </w:rPr>
            </w:pPr>
          </w:p>
        </w:tc>
        <w:tc>
          <w:tcPr>
            <w:tcW w:w="12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1/1/2018</w:t>
            </w:r>
          </w:p>
        </w:tc>
        <w:tc>
          <w:tcPr>
            <w:tcW w:w="10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860" w:type="dxa"/>
            <w:vAlign w:val="bottom"/>
            <w:shd w:val="clear" w:color="auto" w:fill="E9F8FD"/>
          </w:tcPr>
          <w:p>
            <w:pPr>
              <w:ind w:left="580"/>
              <w:spacing w:after="0"/>
              <w:rPr>
                <w:sz w:val="20"/>
                <w:szCs w:val="20"/>
                <w:color w:val="auto"/>
              </w:rPr>
            </w:pPr>
            <w:r>
              <w:rPr>
                <w:rFonts w:ascii="Arial" w:cs="Arial" w:eastAsia="Arial" w:hAnsi="Arial"/>
                <w:sz w:val="16"/>
                <w:szCs w:val="16"/>
                <w:color w:val="42B6E9"/>
              </w:rPr>
              <w:t>—</w:t>
            </w:r>
          </w:p>
        </w:tc>
        <w:tc>
          <w:tcPr>
            <w:tcW w:w="74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11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340,695</w:t>
            </w:r>
            <w:r>
              <w:rPr>
                <w:rFonts w:ascii="Arial" w:cs="Arial" w:eastAsia="Arial" w:hAnsi="Arial"/>
                <w:sz w:val="26"/>
                <w:szCs w:val="26"/>
                <w:color w:val="42B6E9"/>
                <w:vertAlign w:val="superscript"/>
              </w:rPr>
              <w:t>(5)</w:t>
            </w:r>
          </w:p>
        </w:tc>
        <w:tc>
          <w:tcPr>
            <w:tcW w:w="8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6,214,277</w:t>
            </w:r>
          </w:p>
        </w:tc>
        <w:tc>
          <w:tcPr>
            <w:tcW w:w="1200" w:type="dxa"/>
            <w:vAlign w:val="bottom"/>
            <w:shd w:val="clear" w:color="auto" w:fill="E9F8FD"/>
          </w:tcPr>
          <w:p>
            <w:pPr>
              <w:ind w:left="880"/>
              <w:spacing w:after="0"/>
              <w:rPr>
                <w:sz w:val="20"/>
                <w:szCs w:val="20"/>
                <w:color w:val="auto"/>
              </w:rPr>
            </w:pPr>
            <w:r>
              <w:rPr>
                <w:rFonts w:ascii="Arial" w:cs="Arial" w:eastAsia="Arial" w:hAnsi="Arial"/>
                <w:sz w:val="16"/>
                <w:szCs w:val="16"/>
                <w:color w:val="42B6E9"/>
              </w:rPr>
              <w:t>—</w:t>
            </w:r>
          </w:p>
        </w:tc>
        <w:tc>
          <w:tcPr>
            <w:tcW w:w="1140" w:type="dxa"/>
            <w:vAlign w:val="bottom"/>
            <w:shd w:val="clear" w:color="auto" w:fill="E9F8FD"/>
          </w:tcPr>
          <w:p>
            <w:pPr>
              <w:jc w:val="right"/>
              <w:ind w:right="23"/>
              <w:spacing w:after="0"/>
              <w:rPr>
                <w:sz w:val="20"/>
                <w:szCs w:val="20"/>
                <w:color w:val="auto"/>
              </w:rPr>
            </w:pPr>
            <w:r>
              <w:rPr>
                <w:rFonts w:ascii="Arial" w:cs="Arial" w:eastAsia="Arial" w:hAnsi="Arial"/>
                <w:sz w:val="16"/>
                <w:szCs w:val="16"/>
                <w:color w:val="42B6E9"/>
              </w:rPr>
              <w:t>—</w:t>
            </w:r>
          </w:p>
        </w:tc>
      </w:tr>
      <w:tr>
        <w:trPr>
          <w:trHeight w:val="351"/>
        </w:trPr>
        <w:tc>
          <w:tcPr>
            <w:tcW w:w="1360" w:type="dxa"/>
            <w:vAlign w:val="bottom"/>
            <w:shd w:val="clear" w:color="auto" w:fill="E9F8FD"/>
          </w:tcPr>
          <w:p>
            <w:pPr>
              <w:spacing w:after="0"/>
              <w:rPr>
                <w:sz w:val="24"/>
                <w:szCs w:val="24"/>
                <w:color w:val="auto"/>
              </w:rPr>
            </w:pPr>
          </w:p>
        </w:tc>
        <w:tc>
          <w:tcPr>
            <w:tcW w:w="12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9/23/2018</w:t>
            </w:r>
          </w:p>
        </w:tc>
        <w:tc>
          <w:tcPr>
            <w:tcW w:w="10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860" w:type="dxa"/>
            <w:vAlign w:val="bottom"/>
            <w:shd w:val="clear" w:color="auto" w:fill="E9F8FD"/>
          </w:tcPr>
          <w:p>
            <w:pPr>
              <w:ind w:left="580"/>
              <w:spacing w:after="0"/>
              <w:rPr>
                <w:sz w:val="20"/>
                <w:szCs w:val="20"/>
                <w:color w:val="auto"/>
              </w:rPr>
            </w:pPr>
            <w:r>
              <w:rPr>
                <w:rFonts w:ascii="Arial" w:cs="Arial" w:eastAsia="Arial" w:hAnsi="Arial"/>
                <w:sz w:val="16"/>
                <w:szCs w:val="16"/>
                <w:color w:val="42B6E9"/>
              </w:rPr>
              <w:t>—</w:t>
            </w:r>
          </w:p>
        </w:tc>
        <w:tc>
          <w:tcPr>
            <w:tcW w:w="74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11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2,838,024</w:t>
            </w:r>
            <w:r>
              <w:rPr>
                <w:rFonts w:ascii="Arial" w:cs="Arial" w:eastAsia="Arial" w:hAnsi="Arial"/>
                <w:sz w:val="26"/>
                <w:szCs w:val="26"/>
                <w:color w:val="42B6E9"/>
                <w:vertAlign w:val="superscript"/>
              </w:rPr>
              <w:t>(6)</w:t>
            </w:r>
          </w:p>
        </w:tc>
        <w:tc>
          <w:tcPr>
            <w:tcW w:w="8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51,765,558</w:t>
            </w:r>
          </w:p>
        </w:tc>
        <w:tc>
          <w:tcPr>
            <w:tcW w:w="1200" w:type="dxa"/>
            <w:vAlign w:val="bottom"/>
            <w:shd w:val="clear" w:color="auto" w:fill="E9F8FD"/>
          </w:tcPr>
          <w:p>
            <w:pPr>
              <w:ind w:left="880"/>
              <w:spacing w:after="0"/>
              <w:rPr>
                <w:sz w:val="20"/>
                <w:szCs w:val="20"/>
                <w:color w:val="auto"/>
              </w:rPr>
            </w:pPr>
            <w:r>
              <w:rPr>
                <w:rFonts w:ascii="Arial" w:cs="Arial" w:eastAsia="Arial" w:hAnsi="Arial"/>
                <w:sz w:val="16"/>
                <w:szCs w:val="16"/>
                <w:color w:val="42B6E9"/>
              </w:rPr>
              <w:t>—</w:t>
            </w:r>
          </w:p>
        </w:tc>
        <w:tc>
          <w:tcPr>
            <w:tcW w:w="1140" w:type="dxa"/>
            <w:vAlign w:val="bottom"/>
            <w:shd w:val="clear" w:color="auto" w:fill="E9F8FD"/>
          </w:tcPr>
          <w:p>
            <w:pPr>
              <w:jc w:val="right"/>
              <w:ind w:right="23"/>
              <w:spacing w:after="0"/>
              <w:rPr>
                <w:sz w:val="20"/>
                <w:szCs w:val="20"/>
                <w:color w:val="auto"/>
              </w:rPr>
            </w:pPr>
            <w:r>
              <w:rPr>
                <w:rFonts w:ascii="Arial" w:cs="Arial" w:eastAsia="Arial" w:hAnsi="Arial"/>
                <w:sz w:val="16"/>
                <w:szCs w:val="16"/>
                <w:color w:val="42B6E9"/>
              </w:rPr>
              <w:t>—</w:t>
            </w:r>
          </w:p>
        </w:tc>
      </w:tr>
      <w:tr>
        <w:trPr>
          <w:trHeight w:val="365"/>
        </w:trPr>
        <w:tc>
          <w:tcPr>
            <w:tcW w:w="1360" w:type="dxa"/>
            <w:vAlign w:val="bottom"/>
            <w:shd w:val="clear" w:color="auto" w:fill="E9F8FD"/>
          </w:tcPr>
          <w:p>
            <w:pPr>
              <w:spacing w:after="0"/>
              <w:rPr>
                <w:sz w:val="24"/>
                <w:szCs w:val="24"/>
                <w:color w:val="auto"/>
              </w:rPr>
            </w:pPr>
          </w:p>
        </w:tc>
        <w:tc>
          <w:tcPr>
            <w:tcW w:w="12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12/7/2020</w:t>
            </w:r>
          </w:p>
        </w:tc>
        <w:tc>
          <w:tcPr>
            <w:tcW w:w="10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860" w:type="dxa"/>
            <w:vAlign w:val="bottom"/>
            <w:shd w:val="clear" w:color="auto" w:fill="E9F8FD"/>
          </w:tcPr>
          <w:p>
            <w:pPr>
              <w:ind w:left="580"/>
              <w:spacing w:after="0"/>
              <w:rPr>
                <w:sz w:val="20"/>
                <w:szCs w:val="20"/>
                <w:color w:val="auto"/>
              </w:rPr>
            </w:pPr>
            <w:r>
              <w:rPr>
                <w:rFonts w:ascii="Arial" w:cs="Arial" w:eastAsia="Arial" w:hAnsi="Arial"/>
                <w:sz w:val="16"/>
                <w:szCs w:val="16"/>
                <w:color w:val="42B6E9"/>
              </w:rPr>
              <w:t>—</w:t>
            </w:r>
          </w:p>
        </w:tc>
        <w:tc>
          <w:tcPr>
            <w:tcW w:w="74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1100" w:type="dxa"/>
            <w:vAlign w:val="bottom"/>
            <w:shd w:val="clear" w:color="auto" w:fill="E9F8FD"/>
          </w:tcPr>
          <w:p>
            <w:pPr>
              <w:jc w:val="right"/>
              <w:ind w:right="62"/>
              <w:spacing w:after="0"/>
              <w:rPr>
                <w:sz w:val="20"/>
                <w:szCs w:val="20"/>
                <w:color w:val="auto"/>
              </w:rPr>
            </w:pPr>
            <w:r>
              <w:rPr>
                <w:rFonts w:ascii="Arial" w:cs="Arial" w:eastAsia="Arial" w:hAnsi="Arial"/>
                <w:sz w:val="16"/>
                <w:szCs w:val="16"/>
                <w:color w:val="42B6E9"/>
              </w:rPr>
              <w:t>—</w:t>
            </w:r>
          </w:p>
        </w:tc>
        <w:tc>
          <w:tcPr>
            <w:tcW w:w="8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1200" w:type="dxa"/>
            <w:vAlign w:val="bottom"/>
            <w:shd w:val="clear" w:color="auto" w:fill="E9F8FD"/>
          </w:tcPr>
          <w:p>
            <w:pPr>
              <w:ind w:left="240"/>
              <w:spacing w:after="0"/>
              <w:rPr>
                <w:sz w:val="20"/>
                <w:szCs w:val="20"/>
                <w:color w:val="auto"/>
              </w:rPr>
            </w:pPr>
            <w:r>
              <w:rPr>
                <w:rFonts w:ascii="Arial" w:cs="Arial" w:eastAsia="Arial" w:hAnsi="Arial"/>
                <w:sz w:val="16"/>
                <w:szCs w:val="16"/>
                <w:color w:val="42B6E9"/>
              </w:rPr>
              <w:t>1,002,150</w:t>
            </w:r>
            <w:r>
              <w:rPr>
                <w:rFonts w:ascii="Arial" w:cs="Arial" w:eastAsia="Arial" w:hAnsi="Arial"/>
                <w:sz w:val="26"/>
                <w:szCs w:val="26"/>
                <w:color w:val="42B6E9"/>
                <w:vertAlign w:val="superscript"/>
              </w:rPr>
              <w:t>(7)</w:t>
            </w:r>
          </w:p>
        </w:tc>
        <w:tc>
          <w:tcPr>
            <w:tcW w:w="1140" w:type="dxa"/>
            <w:vAlign w:val="bottom"/>
            <w:shd w:val="clear" w:color="auto" w:fill="E9F8FD"/>
          </w:tcPr>
          <w:p>
            <w:pPr>
              <w:jc w:val="right"/>
              <w:ind w:right="23"/>
              <w:spacing w:after="0"/>
              <w:rPr>
                <w:sz w:val="20"/>
                <w:szCs w:val="20"/>
                <w:color w:val="auto"/>
              </w:rPr>
            </w:pPr>
            <w:r>
              <w:rPr>
                <w:rFonts w:ascii="Arial" w:cs="Arial" w:eastAsia="Arial" w:hAnsi="Arial"/>
                <w:sz w:val="16"/>
                <w:szCs w:val="16"/>
                <w:color w:val="42B6E9"/>
              </w:rPr>
              <w:t>15,322,874</w:t>
            </w:r>
          </w:p>
        </w:tc>
      </w:tr>
      <w:tr>
        <w:trPr>
          <w:trHeight w:val="365"/>
        </w:trPr>
        <w:tc>
          <w:tcPr>
            <w:tcW w:w="136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Rajat Bahri</w:t>
            </w:r>
          </w:p>
        </w:tc>
        <w:tc>
          <w:tcPr>
            <w:tcW w:w="12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12/7/2016</w:t>
            </w:r>
          </w:p>
        </w:tc>
        <w:tc>
          <w:tcPr>
            <w:tcW w:w="10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860" w:type="dxa"/>
            <w:vAlign w:val="bottom"/>
            <w:shd w:val="clear" w:color="auto" w:fill="E9F8FD"/>
          </w:tcPr>
          <w:p>
            <w:pPr>
              <w:ind w:left="580"/>
              <w:spacing w:after="0"/>
              <w:rPr>
                <w:sz w:val="20"/>
                <w:szCs w:val="20"/>
                <w:color w:val="auto"/>
              </w:rPr>
            </w:pPr>
            <w:r>
              <w:rPr>
                <w:rFonts w:ascii="Arial" w:cs="Arial" w:eastAsia="Arial" w:hAnsi="Arial"/>
                <w:sz w:val="16"/>
                <w:szCs w:val="16"/>
                <w:color w:val="42B6E9"/>
              </w:rPr>
              <w:t>—</w:t>
            </w:r>
          </w:p>
        </w:tc>
        <w:tc>
          <w:tcPr>
            <w:tcW w:w="74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11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496,800</w:t>
            </w:r>
            <w:r>
              <w:rPr>
                <w:rFonts w:ascii="Arial" w:cs="Arial" w:eastAsia="Arial" w:hAnsi="Arial"/>
                <w:sz w:val="26"/>
                <w:szCs w:val="26"/>
                <w:color w:val="42B6E9"/>
                <w:vertAlign w:val="superscript"/>
              </w:rPr>
              <w:t>(8)</w:t>
            </w:r>
          </w:p>
        </w:tc>
        <w:tc>
          <w:tcPr>
            <w:tcW w:w="8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9,061,632</w:t>
            </w:r>
          </w:p>
        </w:tc>
        <w:tc>
          <w:tcPr>
            <w:tcW w:w="1200" w:type="dxa"/>
            <w:vAlign w:val="bottom"/>
            <w:shd w:val="clear" w:color="auto" w:fill="E9F8FD"/>
          </w:tcPr>
          <w:p>
            <w:pPr>
              <w:ind w:left="880"/>
              <w:spacing w:after="0"/>
              <w:rPr>
                <w:sz w:val="20"/>
                <w:szCs w:val="20"/>
                <w:color w:val="auto"/>
              </w:rPr>
            </w:pPr>
            <w:r>
              <w:rPr>
                <w:rFonts w:ascii="Arial" w:cs="Arial" w:eastAsia="Arial" w:hAnsi="Arial"/>
                <w:sz w:val="16"/>
                <w:szCs w:val="16"/>
                <w:color w:val="42B6E9"/>
              </w:rPr>
              <w:t>—</w:t>
            </w:r>
          </w:p>
        </w:tc>
        <w:tc>
          <w:tcPr>
            <w:tcW w:w="1140" w:type="dxa"/>
            <w:vAlign w:val="bottom"/>
            <w:shd w:val="clear" w:color="auto" w:fill="E9F8FD"/>
          </w:tcPr>
          <w:p>
            <w:pPr>
              <w:jc w:val="right"/>
              <w:ind w:right="23"/>
              <w:spacing w:after="0"/>
              <w:rPr>
                <w:sz w:val="20"/>
                <w:szCs w:val="20"/>
                <w:color w:val="auto"/>
              </w:rPr>
            </w:pPr>
            <w:r>
              <w:rPr>
                <w:rFonts w:ascii="Arial" w:cs="Arial" w:eastAsia="Arial" w:hAnsi="Arial"/>
                <w:sz w:val="16"/>
                <w:szCs w:val="16"/>
                <w:color w:val="42B6E9"/>
              </w:rPr>
              <w:t>—</w:t>
            </w:r>
          </w:p>
        </w:tc>
      </w:tr>
      <w:tr>
        <w:trPr>
          <w:trHeight w:val="351"/>
        </w:trPr>
        <w:tc>
          <w:tcPr>
            <w:tcW w:w="1360" w:type="dxa"/>
            <w:vAlign w:val="bottom"/>
            <w:shd w:val="clear" w:color="auto" w:fill="E9F8FD"/>
          </w:tcPr>
          <w:p>
            <w:pPr>
              <w:spacing w:after="0"/>
              <w:rPr>
                <w:sz w:val="24"/>
                <w:szCs w:val="24"/>
                <w:color w:val="auto"/>
              </w:rPr>
            </w:pPr>
          </w:p>
        </w:tc>
        <w:tc>
          <w:tcPr>
            <w:tcW w:w="12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1/1/2018</w:t>
            </w:r>
          </w:p>
        </w:tc>
        <w:tc>
          <w:tcPr>
            <w:tcW w:w="10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860" w:type="dxa"/>
            <w:vAlign w:val="bottom"/>
            <w:shd w:val="clear" w:color="auto" w:fill="E9F8FD"/>
          </w:tcPr>
          <w:p>
            <w:pPr>
              <w:ind w:left="580"/>
              <w:spacing w:after="0"/>
              <w:rPr>
                <w:sz w:val="20"/>
                <w:szCs w:val="20"/>
                <w:color w:val="auto"/>
              </w:rPr>
            </w:pPr>
            <w:r>
              <w:rPr>
                <w:rFonts w:ascii="Arial" w:cs="Arial" w:eastAsia="Arial" w:hAnsi="Arial"/>
                <w:sz w:val="16"/>
                <w:szCs w:val="16"/>
                <w:color w:val="42B6E9"/>
              </w:rPr>
              <w:t>—</w:t>
            </w:r>
          </w:p>
        </w:tc>
        <w:tc>
          <w:tcPr>
            <w:tcW w:w="74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11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123,895</w:t>
            </w:r>
            <w:r>
              <w:rPr>
                <w:rFonts w:ascii="Arial" w:cs="Arial" w:eastAsia="Arial" w:hAnsi="Arial"/>
                <w:sz w:val="26"/>
                <w:szCs w:val="26"/>
                <w:color w:val="42B6E9"/>
                <w:vertAlign w:val="superscript"/>
              </w:rPr>
              <w:t>(5)</w:t>
            </w:r>
          </w:p>
        </w:tc>
        <w:tc>
          <w:tcPr>
            <w:tcW w:w="8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2,259,845</w:t>
            </w:r>
          </w:p>
        </w:tc>
        <w:tc>
          <w:tcPr>
            <w:tcW w:w="1200" w:type="dxa"/>
            <w:vAlign w:val="bottom"/>
            <w:shd w:val="clear" w:color="auto" w:fill="E9F8FD"/>
          </w:tcPr>
          <w:p>
            <w:pPr>
              <w:ind w:left="880"/>
              <w:spacing w:after="0"/>
              <w:rPr>
                <w:sz w:val="20"/>
                <w:szCs w:val="20"/>
                <w:color w:val="auto"/>
              </w:rPr>
            </w:pPr>
            <w:r>
              <w:rPr>
                <w:rFonts w:ascii="Arial" w:cs="Arial" w:eastAsia="Arial" w:hAnsi="Arial"/>
                <w:sz w:val="16"/>
                <w:szCs w:val="16"/>
                <w:color w:val="42B6E9"/>
              </w:rPr>
              <w:t>—</w:t>
            </w:r>
          </w:p>
        </w:tc>
        <w:tc>
          <w:tcPr>
            <w:tcW w:w="1140" w:type="dxa"/>
            <w:vAlign w:val="bottom"/>
            <w:shd w:val="clear" w:color="auto" w:fill="E9F8FD"/>
          </w:tcPr>
          <w:p>
            <w:pPr>
              <w:jc w:val="right"/>
              <w:ind w:right="23"/>
              <w:spacing w:after="0"/>
              <w:rPr>
                <w:sz w:val="20"/>
                <w:szCs w:val="20"/>
                <w:color w:val="auto"/>
              </w:rPr>
            </w:pPr>
            <w:r>
              <w:rPr>
                <w:rFonts w:ascii="Arial" w:cs="Arial" w:eastAsia="Arial" w:hAnsi="Arial"/>
                <w:sz w:val="16"/>
                <w:szCs w:val="16"/>
                <w:color w:val="42B6E9"/>
              </w:rPr>
              <w:t>—</w:t>
            </w:r>
          </w:p>
        </w:tc>
      </w:tr>
      <w:tr>
        <w:trPr>
          <w:trHeight w:val="351"/>
        </w:trPr>
        <w:tc>
          <w:tcPr>
            <w:tcW w:w="1360" w:type="dxa"/>
            <w:vAlign w:val="bottom"/>
            <w:shd w:val="clear" w:color="auto" w:fill="E9F8FD"/>
          </w:tcPr>
          <w:p>
            <w:pPr>
              <w:spacing w:after="0"/>
              <w:rPr>
                <w:sz w:val="24"/>
                <w:szCs w:val="24"/>
                <w:color w:val="auto"/>
              </w:rPr>
            </w:pPr>
          </w:p>
        </w:tc>
        <w:tc>
          <w:tcPr>
            <w:tcW w:w="12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1/1/2019</w:t>
            </w:r>
          </w:p>
        </w:tc>
        <w:tc>
          <w:tcPr>
            <w:tcW w:w="10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860" w:type="dxa"/>
            <w:vAlign w:val="bottom"/>
            <w:shd w:val="clear" w:color="auto" w:fill="E9F8FD"/>
          </w:tcPr>
          <w:p>
            <w:pPr>
              <w:ind w:left="580"/>
              <w:spacing w:after="0"/>
              <w:rPr>
                <w:sz w:val="20"/>
                <w:szCs w:val="20"/>
                <w:color w:val="auto"/>
              </w:rPr>
            </w:pPr>
            <w:r>
              <w:rPr>
                <w:rFonts w:ascii="Arial" w:cs="Arial" w:eastAsia="Arial" w:hAnsi="Arial"/>
                <w:sz w:val="16"/>
                <w:szCs w:val="16"/>
                <w:color w:val="42B6E9"/>
              </w:rPr>
              <w:t>—</w:t>
            </w:r>
          </w:p>
        </w:tc>
        <w:tc>
          <w:tcPr>
            <w:tcW w:w="74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1100" w:type="dxa"/>
            <w:vAlign w:val="bottom"/>
            <w:shd w:val="clear" w:color="auto" w:fill="E9F8FD"/>
          </w:tcPr>
          <w:p>
            <w:pPr>
              <w:jc w:val="right"/>
              <w:ind w:right="2"/>
              <w:spacing w:after="0"/>
              <w:rPr>
                <w:sz w:val="20"/>
                <w:szCs w:val="20"/>
                <w:color w:val="auto"/>
              </w:rPr>
            </w:pPr>
            <w:r>
              <w:rPr>
                <w:rFonts w:ascii="Arial" w:cs="Arial" w:eastAsia="Arial" w:hAnsi="Arial"/>
                <w:sz w:val="16"/>
                <w:szCs w:val="16"/>
                <w:color w:val="42B6E9"/>
              </w:rPr>
              <w:t>65,820</w:t>
            </w:r>
            <w:r>
              <w:rPr>
                <w:rFonts w:ascii="Arial" w:cs="Arial" w:eastAsia="Arial" w:hAnsi="Arial"/>
                <w:sz w:val="26"/>
                <w:szCs w:val="26"/>
                <w:color w:val="42B6E9"/>
                <w:vertAlign w:val="superscript"/>
              </w:rPr>
              <w:t>(4)</w:t>
            </w:r>
          </w:p>
        </w:tc>
        <w:tc>
          <w:tcPr>
            <w:tcW w:w="8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1,200,557</w:t>
            </w:r>
          </w:p>
        </w:tc>
        <w:tc>
          <w:tcPr>
            <w:tcW w:w="1200" w:type="dxa"/>
            <w:vAlign w:val="bottom"/>
            <w:shd w:val="clear" w:color="auto" w:fill="E9F8FD"/>
          </w:tcPr>
          <w:p>
            <w:pPr>
              <w:ind w:left="880"/>
              <w:spacing w:after="0"/>
              <w:rPr>
                <w:sz w:val="20"/>
                <w:szCs w:val="20"/>
                <w:color w:val="auto"/>
              </w:rPr>
            </w:pPr>
            <w:r>
              <w:rPr>
                <w:rFonts w:ascii="Arial" w:cs="Arial" w:eastAsia="Arial" w:hAnsi="Arial"/>
                <w:sz w:val="16"/>
                <w:szCs w:val="16"/>
                <w:color w:val="42B6E9"/>
              </w:rPr>
              <w:t>—</w:t>
            </w:r>
          </w:p>
        </w:tc>
        <w:tc>
          <w:tcPr>
            <w:tcW w:w="1140" w:type="dxa"/>
            <w:vAlign w:val="bottom"/>
            <w:shd w:val="clear" w:color="auto" w:fill="E9F8FD"/>
          </w:tcPr>
          <w:p>
            <w:pPr>
              <w:jc w:val="right"/>
              <w:ind w:right="23"/>
              <w:spacing w:after="0"/>
              <w:rPr>
                <w:sz w:val="20"/>
                <w:szCs w:val="20"/>
                <w:color w:val="auto"/>
              </w:rPr>
            </w:pPr>
            <w:r>
              <w:rPr>
                <w:rFonts w:ascii="Arial" w:cs="Arial" w:eastAsia="Arial" w:hAnsi="Arial"/>
                <w:sz w:val="16"/>
                <w:szCs w:val="16"/>
                <w:color w:val="42B6E9"/>
              </w:rPr>
              <w:t>—</w:t>
            </w:r>
          </w:p>
        </w:tc>
      </w:tr>
      <w:tr>
        <w:trPr>
          <w:trHeight w:val="351"/>
        </w:trPr>
        <w:tc>
          <w:tcPr>
            <w:tcW w:w="1360" w:type="dxa"/>
            <w:vAlign w:val="bottom"/>
            <w:shd w:val="clear" w:color="auto" w:fill="E9F8FD"/>
          </w:tcPr>
          <w:p>
            <w:pPr>
              <w:spacing w:after="0"/>
              <w:rPr>
                <w:sz w:val="24"/>
                <w:szCs w:val="24"/>
                <w:color w:val="auto"/>
              </w:rPr>
            </w:pPr>
          </w:p>
        </w:tc>
        <w:tc>
          <w:tcPr>
            <w:tcW w:w="12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4/1/2019</w:t>
            </w:r>
          </w:p>
        </w:tc>
        <w:tc>
          <w:tcPr>
            <w:tcW w:w="10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860" w:type="dxa"/>
            <w:vAlign w:val="bottom"/>
            <w:shd w:val="clear" w:color="auto" w:fill="E9F8FD"/>
          </w:tcPr>
          <w:p>
            <w:pPr>
              <w:ind w:left="580"/>
              <w:spacing w:after="0"/>
              <w:rPr>
                <w:sz w:val="20"/>
                <w:szCs w:val="20"/>
                <w:color w:val="auto"/>
              </w:rPr>
            </w:pPr>
            <w:r>
              <w:rPr>
                <w:rFonts w:ascii="Arial" w:cs="Arial" w:eastAsia="Arial" w:hAnsi="Arial"/>
                <w:sz w:val="16"/>
                <w:szCs w:val="16"/>
                <w:color w:val="42B6E9"/>
              </w:rPr>
              <w:t>—</w:t>
            </w:r>
          </w:p>
        </w:tc>
        <w:tc>
          <w:tcPr>
            <w:tcW w:w="74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11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1,130,450</w:t>
            </w:r>
            <w:r>
              <w:rPr>
                <w:rFonts w:ascii="Arial" w:cs="Arial" w:eastAsia="Arial" w:hAnsi="Arial"/>
                <w:sz w:val="26"/>
                <w:szCs w:val="26"/>
                <w:color w:val="42B6E9"/>
                <w:vertAlign w:val="superscript"/>
              </w:rPr>
              <w:t>(9)</w:t>
            </w:r>
          </w:p>
        </w:tc>
        <w:tc>
          <w:tcPr>
            <w:tcW w:w="8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20,619,408</w:t>
            </w:r>
          </w:p>
        </w:tc>
        <w:tc>
          <w:tcPr>
            <w:tcW w:w="1200" w:type="dxa"/>
            <w:vAlign w:val="bottom"/>
            <w:shd w:val="clear" w:color="auto" w:fill="E9F8FD"/>
          </w:tcPr>
          <w:p>
            <w:pPr>
              <w:ind w:left="880"/>
              <w:spacing w:after="0"/>
              <w:rPr>
                <w:sz w:val="20"/>
                <w:szCs w:val="20"/>
                <w:color w:val="auto"/>
              </w:rPr>
            </w:pPr>
            <w:r>
              <w:rPr>
                <w:rFonts w:ascii="Arial" w:cs="Arial" w:eastAsia="Arial" w:hAnsi="Arial"/>
                <w:sz w:val="16"/>
                <w:szCs w:val="16"/>
                <w:color w:val="42B6E9"/>
              </w:rPr>
              <w:t>—</w:t>
            </w:r>
          </w:p>
        </w:tc>
        <w:tc>
          <w:tcPr>
            <w:tcW w:w="1140" w:type="dxa"/>
            <w:vAlign w:val="bottom"/>
            <w:shd w:val="clear" w:color="auto" w:fill="E9F8FD"/>
          </w:tcPr>
          <w:p>
            <w:pPr>
              <w:jc w:val="right"/>
              <w:ind w:right="23"/>
              <w:spacing w:after="0"/>
              <w:rPr>
                <w:sz w:val="20"/>
                <w:szCs w:val="20"/>
                <w:color w:val="auto"/>
              </w:rPr>
            </w:pPr>
            <w:r>
              <w:rPr>
                <w:rFonts w:ascii="Arial" w:cs="Arial" w:eastAsia="Arial" w:hAnsi="Arial"/>
                <w:sz w:val="16"/>
                <w:szCs w:val="16"/>
                <w:color w:val="42B6E9"/>
              </w:rPr>
              <w:t>—</w:t>
            </w:r>
          </w:p>
        </w:tc>
      </w:tr>
      <w:tr>
        <w:trPr>
          <w:trHeight w:val="364"/>
        </w:trPr>
        <w:tc>
          <w:tcPr>
            <w:tcW w:w="1360" w:type="dxa"/>
            <w:vAlign w:val="bottom"/>
            <w:shd w:val="clear" w:color="auto" w:fill="E9F8FD"/>
          </w:tcPr>
          <w:p>
            <w:pPr>
              <w:spacing w:after="0"/>
              <w:rPr>
                <w:sz w:val="24"/>
                <w:szCs w:val="24"/>
                <w:color w:val="auto"/>
              </w:rPr>
            </w:pPr>
          </w:p>
        </w:tc>
        <w:tc>
          <w:tcPr>
            <w:tcW w:w="12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9/1/2020</w:t>
            </w:r>
          </w:p>
        </w:tc>
        <w:tc>
          <w:tcPr>
            <w:tcW w:w="10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860" w:type="dxa"/>
            <w:vAlign w:val="bottom"/>
            <w:shd w:val="clear" w:color="auto" w:fill="E9F8FD"/>
          </w:tcPr>
          <w:p>
            <w:pPr>
              <w:ind w:left="580"/>
              <w:spacing w:after="0"/>
              <w:rPr>
                <w:sz w:val="20"/>
                <w:szCs w:val="20"/>
                <w:color w:val="auto"/>
              </w:rPr>
            </w:pPr>
            <w:r>
              <w:rPr>
                <w:rFonts w:ascii="Arial" w:cs="Arial" w:eastAsia="Arial" w:hAnsi="Arial"/>
                <w:sz w:val="16"/>
                <w:szCs w:val="16"/>
                <w:color w:val="42B6E9"/>
              </w:rPr>
              <w:t>—</w:t>
            </w:r>
          </w:p>
        </w:tc>
        <w:tc>
          <w:tcPr>
            <w:tcW w:w="74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11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234,376</w:t>
            </w:r>
            <w:r>
              <w:rPr>
                <w:rFonts w:ascii="Arial" w:cs="Arial" w:eastAsia="Arial" w:hAnsi="Arial"/>
                <w:sz w:val="26"/>
                <w:szCs w:val="26"/>
                <w:color w:val="42B6E9"/>
                <w:vertAlign w:val="superscript"/>
              </w:rPr>
              <w:t>(6)</w:t>
            </w:r>
          </w:p>
        </w:tc>
        <w:tc>
          <w:tcPr>
            <w:tcW w:w="8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4,275,018</w:t>
            </w:r>
          </w:p>
        </w:tc>
        <w:tc>
          <w:tcPr>
            <w:tcW w:w="1200" w:type="dxa"/>
            <w:vAlign w:val="bottom"/>
            <w:shd w:val="clear" w:color="auto" w:fill="E9F8FD"/>
          </w:tcPr>
          <w:p>
            <w:pPr>
              <w:ind w:left="880"/>
              <w:spacing w:after="0"/>
              <w:rPr>
                <w:sz w:val="20"/>
                <w:szCs w:val="20"/>
                <w:color w:val="auto"/>
              </w:rPr>
            </w:pPr>
            <w:r>
              <w:rPr>
                <w:rFonts w:ascii="Arial" w:cs="Arial" w:eastAsia="Arial" w:hAnsi="Arial"/>
                <w:sz w:val="16"/>
                <w:szCs w:val="16"/>
                <w:color w:val="42B6E9"/>
              </w:rPr>
              <w:t>—</w:t>
            </w:r>
          </w:p>
        </w:tc>
        <w:tc>
          <w:tcPr>
            <w:tcW w:w="1140" w:type="dxa"/>
            <w:vAlign w:val="bottom"/>
            <w:shd w:val="clear" w:color="auto" w:fill="E9F8FD"/>
          </w:tcPr>
          <w:p>
            <w:pPr>
              <w:jc w:val="right"/>
              <w:ind w:right="23"/>
              <w:spacing w:after="0"/>
              <w:rPr>
                <w:sz w:val="20"/>
                <w:szCs w:val="20"/>
                <w:color w:val="auto"/>
              </w:rPr>
            </w:pPr>
            <w:r>
              <w:rPr>
                <w:rFonts w:ascii="Arial" w:cs="Arial" w:eastAsia="Arial" w:hAnsi="Arial"/>
                <w:sz w:val="16"/>
                <w:szCs w:val="16"/>
                <w:color w:val="42B6E9"/>
              </w:rPr>
              <w:t>—</w:t>
            </w:r>
          </w:p>
        </w:tc>
      </w:tr>
      <w:tr>
        <w:trPr>
          <w:trHeight w:val="365"/>
        </w:trPr>
        <w:tc>
          <w:tcPr>
            <w:tcW w:w="136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Devang Shah</w:t>
            </w:r>
          </w:p>
        </w:tc>
        <w:tc>
          <w:tcPr>
            <w:tcW w:w="12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2/5/2018</w:t>
            </w:r>
          </w:p>
        </w:tc>
        <w:tc>
          <w:tcPr>
            <w:tcW w:w="10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860" w:type="dxa"/>
            <w:vAlign w:val="bottom"/>
            <w:shd w:val="clear" w:color="auto" w:fill="E9F8FD"/>
          </w:tcPr>
          <w:p>
            <w:pPr>
              <w:ind w:left="580"/>
              <w:spacing w:after="0"/>
              <w:rPr>
                <w:sz w:val="20"/>
                <w:szCs w:val="20"/>
                <w:color w:val="auto"/>
              </w:rPr>
            </w:pPr>
            <w:r>
              <w:rPr>
                <w:rFonts w:ascii="Arial" w:cs="Arial" w:eastAsia="Arial" w:hAnsi="Arial"/>
                <w:sz w:val="16"/>
                <w:szCs w:val="16"/>
                <w:color w:val="42B6E9"/>
              </w:rPr>
              <w:t>—</w:t>
            </w:r>
          </w:p>
        </w:tc>
        <w:tc>
          <w:tcPr>
            <w:tcW w:w="74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1100" w:type="dxa"/>
            <w:vAlign w:val="bottom"/>
            <w:shd w:val="clear" w:color="auto" w:fill="E9F8FD"/>
          </w:tcPr>
          <w:p>
            <w:pPr>
              <w:jc w:val="right"/>
              <w:ind w:right="2"/>
              <w:spacing w:after="0"/>
              <w:rPr>
                <w:sz w:val="20"/>
                <w:szCs w:val="20"/>
                <w:color w:val="auto"/>
              </w:rPr>
            </w:pPr>
            <w:r>
              <w:rPr>
                <w:rFonts w:ascii="Arial" w:cs="Arial" w:eastAsia="Arial" w:hAnsi="Arial"/>
                <w:sz w:val="16"/>
                <w:szCs w:val="16"/>
                <w:color w:val="42B6E9"/>
              </w:rPr>
              <w:t>248,600</w:t>
            </w:r>
            <w:r>
              <w:rPr>
                <w:rFonts w:ascii="Arial" w:cs="Arial" w:eastAsia="Arial" w:hAnsi="Arial"/>
                <w:sz w:val="26"/>
                <w:szCs w:val="26"/>
                <w:color w:val="42B6E9"/>
                <w:vertAlign w:val="superscript"/>
              </w:rPr>
              <w:t>(10)</w:t>
            </w:r>
          </w:p>
        </w:tc>
        <w:tc>
          <w:tcPr>
            <w:tcW w:w="8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4,534,464</w:t>
            </w:r>
          </w:p>
        </w:tc>
        <w:tc>
          <w:tcPr>
            <w:tcW w:w="1200" w:type="dxa"/>
            <w:vAlign w:val="bottom"/>
            <w:shd w:val="clear" w:color="auto" w:fill="E9F8FD"/>
          </w:tcPr>
          <w:p>
            <w:pPr>
              <w:ind w:left="880"/>
              <w:spacing w:after="0"/>
              <w:rPr>
                <w:sz w:val="20"/>
                <w:szCs w:val="20"/>
                <w:color w:val="auto"/>
              </w:rPr>
            </w:pPr>
            <w:r>
              <w:rPr>
                <w:rFonts w:ascii="Arial" w:cs="Arial" w:eastAsia="Arial" w:hAnsi="Arial"/>
                <w:sz w:val="16"/>
                <w:szCs w:val="16"/>
                <w:color w:val="42B6E9"/>
              </w:rPr>
              <w:t>—</w:t>
            </w:r>
          </w:p>
        </w:tc>
        <w:tc>
          <w:tcPr>
            <w:tcW w:w="1140" w:type="dxa"/>
            <w:vAlign w:val="bottom"/>
            <w:shd w:val="clear" w:color="auto" w:fill="E9F8FD"/>
          </w:tcPr>
          <w:p>
            <w:pPr>
              <w:jc w:val="right"/>
              <w:ind w:right="23"/>
              <w:spacing w:after="0"/>
              <w:rPr>
                <w:sz w:val="20"/>
                <w:szCs w:val="20"/>
                <w:color w:val="auto"/>
              </w:rPr>
            </w:pPr>
            <w:r>
              <w:rPr>
                <w:rFonts w:ascii="Arial" w:cs="Arial" w:eastAsia="Arial" w:hAnsi="Arial"/>
                <w:sz w:val="16"/>
                <w:szCs w:val="16"/>
                <w:color w:val="42B6E9"/>
              </w:rPr>
              <w:t>—</w:t>
            </w:r>
          </w:p>
        </w:tc>
      </w:tr>
      <w:tr>
        <w:trPr>
          <w:trHeight w:val="351"/>
        </w:trPr>
        <w:tc>
          <w:tcPr>
            <w:tcW w:w="1360" w:type="dxa"/>
            <w:vAlign w:val="bottom"/>
            <w:shd w:val="clear" w:color="auto" w:fill="E9F8FD"/>
          </w:tcPr>
          <w:p>
            <w:pPr>
              <w:spacing w:after="0"/>
              <w:rPr>
                <w:sz w:val="24"/>
                <w:szCs w:val="24"/>
                <w:color w:val="auto"/>
              </w:rPr>
            </w:pPr>
          </w:p>
        </w:tc>
        <w:tc>
          <w:tcPr>
            <w:tcW w:w="12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4/1/2019</w:t>
            </w:r>
          </w:p>
        </w:tc>
        <w:tc>
          <w:tcPr>
            <w:tcW w:w="10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860" w:type="dxa"/>
            <w:vAlign w:val="bottom"/>
            <w:shd w:val="clear" w:color="auto" w:fill="E9F8FD"/>
          </w:tcPr>
          <w:p>
            <w:pPr>
              <w:ind w:left="580"/>
              <w:spacing w:after="0"/>
              <w:rPr>
                <w:sz w:val="20"/>
                <w:szCs w:val="20"/>
                <w:color w:val="auto"/>
              </w:rPr>
            </w:pPr>
            <w:r>
              <w:rPr>
                <w:rFonts w:ascii="Arial" w:cs="Arial" w:eastAsia="Arial" w:hAnsi="Arial"/>
                <w:sz w:val="16"/>
                <w:szCs w:val="16"/>
                <w:color w:val="42B6E9"/>
              </w:rPr>
              <w:t>—</w:t>
            </w:r>
          </w:p>
        </w:tc>
        <w:tc>
          <w:tcPr>
            <w:tcW w:w="74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11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181,000</w:t>
            </w:r>
            <w:r>
              <w:rPr>
                <w:rFonts w:ascii="Arial" w:cs="Arial" w:eastAsia="Arial" w:hAnsi="Arial"/>
                <w:sz w:val="26"/>
                <w:szCs w:val="26"/>
                <w:color w:val="42B6E9"/>
                <w:vertAlign w:val="superscript"/>
              </w:rPr>
              <w:t>(9)</w:t>
            </w:r>
          </w:p>
        </w:tc>
        <w:tc>
          <w:tcPr>
            <w:tcW w:w="8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3,301,440</w:t>
            </w:r>
          </w:p>
        </w:tc>
        <w:tc>
          <w:tcPr>
            <w:tcW w:w="1200" w:type="dxa"/>
            <w:vAlign w:val="bottom"/>
            <w:shd w:val="clear" w:color="auto" w:fill="E9F8FD"/>
          </w:tcPr>
          <w:p>
            <w:pPr>
              <w:ind w:left="880"/>
              <w:spacing w:after="0"/>
              <w:rPr>
                <w:sz w:val="20"/>
                <w:szCs w:val="20"/>
                <w:color w:val="auto"/>
              </w:rPr>
            </w:pPr>
            <w:r>
              <w:rPr>
                <w:rFonts w:ascii="Arial" w:cs="Arial" w:eastAsia="Arial" w:hAnsi="Arial"/>
                <w:sz w:val="16"/>
                <w:szCs w:val="16"/>
                <w:color w:val="42B6E9"/>
              </w:rPr>
              <w:t>—</w:t>
            </w:r>
          </w:p>
        </w:tc>
        <w:tc>
          <w:tcPr>
            <w:tcW w:w="1140" w:type="dxa"/>
            <w:vAlign w:val="bottom"/>
            <w:shd w:val="clear" w:color="auto" w:fill="E9F8FD"/>
          </w:tcPr>
          <w:p>
            <w:pPr>
              <w:jc w:val="right"/>
              <w:ind w:right="23"/>
              <w:spacing w:after="0"/>
              <w:rPr>
                <w:sz w:val="20"/>
                <w:szCs w:val="20"/>
                <w:color w:val="auto"/>
              </w:rPr>
            </w:pPr>
            <w:r>
              <w:rPr>
                <w:rFonts w:ascii="Arial" w:cs="Arial" w:eastAsia="Arial" w:hAnsi="Arial"/>
                <w:sz w:val="16"/>
                <w:szCs w:val="16"/>
                <w:color w:val="42B6E9"/>
              </w:rPr>
              <w:t>—</w:t>
            </w:r>
          </w:p>
        </w:tc>
      </w:tr>
      <w:tr>
        <w:trPr>
          <w:trHeight w:val="365"/>
        </w:trPr>
        <w:tc>
          <w:tcPr>
            <w:tcW w:w="1360" w:type="dxa"/>
            <w:vAlign w:val="bottom"/>
            <w:shd w:val="clear" w:color="auto" w:fill="E9F8FD"/>
          </w:tcPr>
          <w:p>
            <w:pPr>
              <w:spacing w:after="0"/>
              <w:rPr>
                <w:sz w:val="24"/>
                <w:szCs w:val="24"/>
                <w:color w:val="auto"/>
              </w:rPr>
            </w:pPr>
          </w:p>
        </w:tc>
        <w:tc>
          <w:tcPr>
            <w:tcW w:w="12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9/1/2020</w:t>
            </w:r>
          </w:p>
        </w:tc>
        <w:tc>
          <w:tcPr>
            <w:tcW w:w="10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860" w:type="dxa"/>
            <w:vAlign w:val="bottom"/>
            <w:shd w:val="clear" w:color="auto" w:fill="E9F8FD"/>
          </w:tcPr>
          <w:p>
            <w:pPr>
              <w:ind w:left="580"/>
              <w:spacing w:after="0"/>
              <w:rPr>
                <w:sz w:val="20"/>
                <w:szCs w:val="20"/>
                <w:color w:val="auto"/>
              </w:rPr>
            </w:pPr>
            <w:r>
              <w:rPr>
                <w:rFonts w:ascii="Arial" w:cs="Arial" w:eastAsia="Arial" w:hAnsi="Arial"/>
                <w:sz w:val="16"/>
                <w:szCs w:val="16"/>
                <w:color w:val="42B6E9"/>
              </w:rPr>
              <w:t>—</w:t>
            </w:r>
          </w:p>
        </w:tc>
        <w:tc>
          <w:tcPr>
            <w:tcW w:w="74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11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234,376</w:t>
            </w:r>
            <w:r>
              <w:rPr>
                <w:rFonts w:ascii="Arial" w:cs="Arial" w:eastAsia="Arial" w:hAnsi="Arial"/>
                <w:sz w:val="26"/>
                <w:szCs w:val="26"/>
                <w:color w:val="42B6E9"/>
                <w:vertAlign w:val="superscript"/>
              </w:rPr>
              <w:t>(6)</w:t>
            </w:r>
          </w:p>
        </w:tc>
        <w:tc>
          <w:tcPr>
            <w:tcW w:w="8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4,275,018</w:t>
            </w:r>
          </w:p>
        </w:tc>
        <w:tc>
          <w:tcPr>
            <w:tcW w:w="1200" w:type="dxa"/>
            <w:vAlign w:val="bottom"/>
            <w:shd w:val="clear" w:color="auto" w:fill="E9F8FD"/>
          </w:tcPr>
          <w:p>
            <w:pPr>
              <w:ind w:left="880"/>
              <w:spacing w:after="0"/>
              <w:rPr>
                <w:sz w:val="20"/>
                <w:szCs w:val="20"/>
                <w:color w:val="auto"/>
              </w:rPr>
            </w:pPr>
            <w:r>
              <w:rPr>
                <w:rFonts w:ascii="Arial" w:cs="Arial" w:eastAsia="Arial" w:hAnsi="Arial"/>
                <w:sz w:val="16"/>
                <w:szCs w:val="16"/>
                <w:color w:val="42B6E9"/>
              </w:rPr>
              <w:t>—</w:t>
            </w:r>
          </w:p>
        </w:tc>
        <w:tc>
          <w:tcPr>
            <w:tcW w:w="1140" w:type="dxa"/>
            <w:vAlign w:val="bottom"/>
            <w:shd w:val="clear" w:color="auto" w:fill="E9F8FD"/>
          </w:tcPr>
          <w:p>
            <w:pPr>
              <w:jc w:val="right"/>
              <w:ind w:right="23"/>
              <w:spacing w:after="0"/>
              <w:rPr>
                <w:sz w:val="20"/>
                <w:szCs w:val="20"/>
                <w:color w:val="auto"/>
              </w:rPr>
            </w:pPr>
            <w:r>
              <w:rPr>
                <w:rFonts w:ascii="Arial" w:cs="Arial" w:eastAsia="Arial" w:hAnsi="Arial"/>
                <w:sz w:val="16"/>
                <w:szCs w:val="16"/>
                <w:color w:val="42B6E9"/>
              </w:rPr>
              <w:t>—</w:t>
            </w:r>
          </w:p>
        </w:tc>
      </w:tr>
      <w:tr>
        <w:trPr>
          <w:trHeight w:val="365"/>
        </w:trPr>
        <w:tc>
          <w:tcPr>
            <w:tcW w:w="136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Thomas Chuang</w:t>
            </w:r>
          </w:p>
        </w:tc>
        <w:tc>
          <w:tcPr>
            <w:tcW w:w="12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7/1/2014</w:t>
            </w:r>
          </w:p>
        </w:tc>
        <w:tc>
          <w:tcPr>
            <w:tcW w:w="10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279,000</w:t>
            </w:r>
            <w:r>
              <w:rPr>
                <w:rFonts w:ascii="Arial" w:cs="Arial" w:eastAsia="Arial" w:hAnsi="Arial"/>
                <w:sz w:val="26"/>
                <w:szCs w:val="26"/>
                <w:color w:val="42B6E9"/>
                <w:vertAlign w:val="superscript"/>
              </w:rPr>
              <w:t>(11)</w:t>
            </w:r>
          </w:p>
        </w:tc>
        <w:tc>
          <w:tcPr>
            <w:tcW w:w="860" w:type="dxa"/>
            <w:vAlign w:val="bottom"/>
            <w:shd w:val="clear" w:color="auto" w:fill="E9F8FD"/>
          </w:tcPr>
          <w:p>
            <w:pPr>
              <w:ind w:left="320"/>
              <w:spacing w:after="0"/>
              <w:rPr>
                <w:sz w:val="20"/>
                <w:szCs w:val="20"/>
                <w:color w:val="auto"/>
              </w:rPr>
            </w:pPr>
            <w:r>
              <w:rPr>
                <w:rFonts w:ascii="Arial" w:cs="Arial" w:eastAsia="Arial" w:hAnsi="Arial"/>
                <w:sz w:val="16"/>
                <w:szCs w:val="16"/>
                <w:color w:val="42B6E9"/>
              </w:rPr>
              <w:t>0.238</w:t>
            </w:r>
          </w:p>
        </w:tc>
        <w:tc>
          <w:tcPr>
            <w:tcW w:w="740" w:type="dxa"/>
            <w:vAlign w:val="bottom"/>
            <w:shd w:val="clear" w:color="auto" w:fill="E9F8FD"/>
          </w:tcPr>
          <w:p>
            <w:pPr>
              <w:jc w:val="right"/>
              <w:spacing w:after="0"/>
              <w:rPr>
                <w:sz w:val="20"/>
                <w:szCs w:val="20"/>
                <w:color w:val="auto"/>
              </w:rPr>
            </w:pPr>
            <w:r>
              <w:rPr>
                <w:rFonts w:ascii="Arial" w:cs="Arial" w:eastAsia="Arial" w:hAnsi="Arial"/>
                <w:sz w:val="16"/>
                <w:szCs w:val="16"/>
                <w:color w:val="42B6E9"/>
                <w:w w:val="98"/>
              </w:rPr>
              <w:t>8/11/2024</w:t>
            </w:r>
          </w:p>
        </w:tc>
        <w:tc>
          <w:tcPr>
            <w:tcW w:w="1100" w:type="dxa"/>
            <w:vAlign w:val="bottom"/>
            <w:shd w:val="clear" w:color="auto" w:fill="E9F8FD"/>
          </w:tcPr>
          <w:p>
            <w:pPr>
              <w:jc w:val="right"/>
              <w:ind w:right="62"/>
              <w:spacing w:after="0"/>
              <w:rPr>
                <w:sz w:val="20"/>
                <w:szCs w:val="20"/>
                <w:color w:val="auto"/>
              </w:rPr>
            </w:pPr>
            <w:r>
              <w:rPr>
                <w:rFonts w:ascii="Arial" w:cs="Arial" w:eastAsia="Arial" w:hAnsi="Arial"/>
                <w:sz w:val="16"/>
                <w:szCs w:val="16"/>
                <w:color w:val="42B6E9"/>
              </w:rPr>
              <w:t>—</w:t>
            </w:r>
          </w:p>
        </w:tc>
        <w:tc>
          <w:tcPr>
            <w:tcW w:w="8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1200" w:type="dxa"/>
            <w:vAlign w:val="bottom"/>
            <w:shd w:val="clear" w:color="auto" w:fill="E9F8FD"/>
          </w:tcPr>
          <w:p>
            <w:pPr>
              <w:ind w:left="880"/>
              <w:spacing w:after="0"/>
              <w:rPr>
                <w:sz w:val="20"/>
                <w:szCs w:val="20"/>
                <w:color w:val="auto"/>
              </w:rPr>
            </w:pPr>
            <w:r>
              <w:rPr>
                <w:rFonts w:ascii="Arial" w:cs="Arial" w:eastAsia="Arial" w:hAnsi="Arial"/>
                <w:sz w:val="16"/>
                <w:szCs w:val="16"/>
                <w:color w:val="42B6E9"/>
              </w:rPr>
              <w:t>—</w:t>
            </w:r>
          </w:p>
        </w:tc>
        <w:tc>
          <w:tcPr>
            <w:tcW w:w="1140" w:type="dxa"/>
            <w:vAlign w:val="bottom"/>
            <w:shd w:val="clear" w:color="auto" w:fill="E9F8FD"/>
          </w:tcPr>
          <w:p>
            <w:pPr>
              <w:jc w:val="right"/>
              <w:ind w:right="23"/>
              <w:spacing w:after="0"/>
              <w:rPr>
                <w:sz w:val="20"/>
                <w:szCs w:val="20"/>
                <w:color w:val="auto"/>
              </w:rPr>
            </w:pPr>
            <w:r>
              <w:rPr>
                <w:rFonts w:ascii="Arial" w:cs="Arial" w:eastAsia="Arial" w:hAnsi="Arial"/>
                <w:sz w:val="16"/>
                <w:szCs w:val="16"/>
                <w:color w:val="42B6E9"/>
              </w:rPr>
              <w:t>—</w:t>
            </w:r>
          </w:p>
        </w:tc>
      </w:tr>
      <w:tr>
        <w:trPr>
          <w:trHeight w:val="351"/>
        </w:trPr>
        <w:tc>
          <w:tcPr>
            <w:tcW w:w="1360" w:type="dxa"/>
            <w:vAlign w:val="bottom"/>
            <w:shd w:val="clear" w:color="auto" w:fill="E9F8FD"/>
          </w:tcPr>
          <w:p>
            <w:pPr>
              <w:spacing w:after="0"/>
              <w:rPr>
                <w:sz w:val="24"/>
                <w:szCs w:val="24"/>
                <w:color w:val="auto"/>
              </w:rPr>
            </w:pPr>
          </w:p>
        </w:tc>
        <w:tc>
          <w:tcPr>
            <w:tcW w:w="12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6/1/2016</w:t>
            </w:r>
          </w:p>
        </w:tc>
        <w:tc>
          <w:tcPr>
            <w:tcW w:w="10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860" w:type="dxa"/>
            <w:vAlign w:val="bottom"/>
            <w:shd w:val="clear" w:color="auto" w:fill="E9F8FD"/>
          </w:tcPr>
          <w:p>
            <w:pPr>
              <w:ind w:left="580"/>
              <w:spacing w:after="0"/>
              <w:rPr>
                <w:sz w:val="20"/>
                <w:szCs w:val="20"/>
                <w:color w:val="auto"/>
              </w:rPr>
            </w:pPr>
            <w:r>
              <w:rPr>
                <w:rFonts w:ascii="Arial" w:cs="Arial" w:eastAsia="Arial" w:hAnsi="Arial"/>
                <w:sz w:val="16"/>
                <w:szCs w:val="16"/>
                <w:color w:val="42B6E9"/>
              </w:rPr>
              <w:t>—</w:t>
            </w:r>
          </w:p>
        </w:tc>
        <w:tc>
          <w:tcPr>
            <w:tcW w:w="74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11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1,620</w:t>
            </w:r>
            <w:r>
              <w:rPr>
                <w:rFonts w:ascii="Arial" w:cs="Arial" w:eastAsia="Arial" w:hAnsi="Arial"/>
                <w:sz w:val="26"/>
                <w:szCs w:val="26"/>
                <w:color w:val="42B6E9"/>
                <w:vertAlign w:val="superscript"/>
              </w:rPr>
              <w:t>(10)</w:t>
            </w:r>
          </w:p>
        </w:tc>
        <w:tc>
          <w:tcPr>
            <w:tcW w:w="8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29,549</w:t>
            </w:r>
          </w:p>
        </w:tc>
        <w:tc>
          <w:tcPr>
            <w:tcW w:w="1200" w:type="dxa"/>
            <w:vAlign w:val="bottom"/>
            <w:shd w:val="clear" w:color="auto" w:fill="E9F8FD"/>
          </w:tcPr>
          <w:p>
            <w:pPr>
              <w:ind w:left="880"/>
              <w:spacing w:after="0"/>
              <w:rPr>
                <w:sz w:val="20"/>
                <w:szCs w:val="20"/>
                <w:color w:val="auto"/>
              </w:rPr>
            </w:pPr>
            <w:r>
              <w:rPr>
                <w:rFonts w:ascii="Arial" w:cs="Arial" w:eastAsia="Arial" w:hAnsi="Arial"/>
                <w:sz w:val="16"/>
                <w:szCs w:val="16"/>
                <w:color w:val="42B6E9"/>
              </w:rPr>
              <w:t>—</w:t>
            </w:r>
          </w:p>
        </w:tc>
        <w:tc>
          <w:tcPr>
            <w:tcW w:w="1140" w:type="dxa"/>
            <w:vAlign w:val="bottom"/>
            <w:shd w:val="clear" w:color="auto" w:fill="E9F8FD"/>
          </w:tcPr>
          <w:p>
            <w:pPr>
              <w:jc w:val="right"/>
              <w:ind w:right="23"/>
              <w:spacing w:after="0"/>
              <w:rPr>
                <w:sz w:val="20"/>
                <w:szCs w:val="20"/>
                <w:color w:val="auto"/>
              </w:rPr>
            </w:pPr>
            <w:r>
              <w:rPr>
                <w:rFonts w:ascii="Arial" w:cs="Arial" w:eastAsia="Arial" w:hAnsi="Arial"/>
                <w:sz w:val="16"/>
                <w:szCs w:val="16"/>
                <w:color w:val="42B6E9"/>
              </w:rPr>
              <w:t>—</w:t>
            </w:r>
          </w:p>
        </w:tc>
      </w:tr>
      <w:tr>
        <w:trPr>
          <w:trHeight w:val="351"/>
        </w:trPr>
        <w:tc>
          <w:tcPr>
            <w:tcW w:w="1360" w:type="dxa"/>
            <w:vAlign w:val="bottom"/>
            <w:shd w:val="clear" w:color="auto" w:fill="E9F8FD"/>
          </w:tcPr>
          <w:p>
            <w:pPr>
              <w:spacing w:after="0"/>
              <w:rPr>
                <w:sz w:val="24"/>
                <w:szCs w:val="24"/>
                <w:color w:val="auto"/>
              </w:rPr>
            </w:pPr>
          </w:p>
        </w:tc>
        <w:tc>
          <w:tcPr>
            <w:tcW w:w="12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4/24/2017</w:t>
            </w:r>
          </w:p>
        </w:tc>
        <w:tc>
          <w:tcPr>
            <w:tcW w:w="10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860" w:type="dxa"/>
            <w:vAlign w:val="bottom"/>
            <w:shd w:val="clear" w:color="auto" w:fill="E9F8FD"/>
          </w:tcPr>
          <w:p>
            <w:pPr>
              <w:ind w:left="580"/>
              <w:spacing w:after="0"/>
              <w:rPr>
                <w:sz w:val="20"/>
                <w:szCs w:val="20"/>
                <w:color w:val="auto"/>
              </w:rPr>
            </w:pPr>
            <w:r>
              <w:rPr>
                <w:rFonts w:ascii="Arial" w:cs="Arial" w:eastAsia="Arial" w:hAnsi="Arial"/>
                <w:sz w:val="16"/>
                <w:szCs w:val="16"/>
                <w:color w:val="42B6E9"/>
              </w:rPr>
              <w:t>—</w:t>
            </w:r>
          </w:p>
        </w:tc>
        <w:tc>
          <w:tcPr>
            <w:tcW w:w="74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1100" w:type="dxa"/>
            <w:vAlign w:val="bottom"/>
            <w:shd w:val="clear" w:color="auto" w:fill="E9F8FD"/>
          </w:tcPr>
          <w:p>
            <w:pPr>
              <w:jc w:val="right"/>
              <w:ind w:right="2"/>
              <w:spacing w:after="0"/>
              <w:rPr>
                <w:sz w:val="20"/>
                <w:szCs w:val="20"/>
                <w:color w:val="auto"/>
              </w:rPr>
            </w:pPr>
            <w:r>
              <w:rPr>
                <w:rFonts w:ascii="Arial" w:cs="Arial" w:eastAsia="Arial" w:hAnsi="Arial"/>
                <w:sz w:val="16"/>
                <w:szCs w:val="16"/>
                <w:color w:val="42B6E9"/>
              </w:rPr>
              <w:t>5,340</w:t>
            </w:r>
            <w:r>
              <w:rPr>
                <w:rFonts w:ascii="Arial" w:cs="Arial" w:eastAsia="Arial" w:hAnsi="Arial"/>
                <w:sz w:val="26"/>
                <w:szCs w:val="26"/>
                <w:color w:val="42B6E9"/>
                <w:vertAlign w:val="superscript"/>
              </w:rPr>
              <w:t>(10)</w:t>
            </w:r>
          </w:p>
        </w:tc>
        <w:tc>
          <w:tcPr>
            <w:tcW w:w="8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97,401</w:t>
            </w:r>
          </w:p>
        </w:tc>
        <w:tc>
          <w:tcPr>
            <w:tcW w:w="1200" w:type="dxa"/>
            <w:vAlign w:val="bottom"/>
            <w:shd w:val="clear" w:color="auto" w:fill="E9F8FD"/>
          </w:tcPr>
          <w:p>
            <w:pPr>
              <w:ind w:left="880"/>
              <w:spacing w:after="0"/>
              <w:rPr>
                <w:sz w:val="20"/>
                <w:szCs w:val="20"/>
                <w:color w:val="auto"/>
              </w:rPr>
            </w:pPr>
            <w:r>
              <w:rPr>
                <w:rFonts w:ascii="Arial" w:cs="Arial" w:eastAsia="Arial" w:hAnsi="Arial"/>
                <w:sz w:val="16"/>
                <w:szCs w:val="16"/>
                <w:color w:val="42B6E9"/>
              </w:rPr>
              <w:t>—</w:t>
            </w:r>
          </w:p>
        </w:tc>
        <w:tc>
          <w:tcPr>
            <w:tcW w:w="1140" w:type="dxa"/>
            <w:vAlign w:val="bottom"/>
            <w:shd w:val="clear" w:color="auto" w:fill="E9F8FD"/>
          </w:tcPr>
          <w:p>
            <w:pPr>
              <w:spacing w:after="0"/>
              <w:rPr>
                <w:sz w:val="24"/>
                <w:szCs w:val="24"/>
                <w:color w:val="auto"/>
              </w:rPr>
            </w:pPr>
          </w:p>
        </w:tc>
      </w:tr>
      <w:tr>
        <w:trPr>
          <w:trHeight w:val="351"/>
        </w:trPr>
        <w:tc>
          <w:tcPr>
            <w:tcW w:w="1360" w:type="dxa"/>
            <w:vAlign w:val="bottom"/>
            <w:shd w:val="clear" w:color="auto" w:fill="E9F8FD"/>
          </w:tcPr>
          <w:p>
            <w:pPr>
              <w:spacing w:after="0"/>
              <w:rPr>
                <w:sz w:val="24"/>
                <w:szCs w:val="24"/>
                <w:color w:val="auto"/>
              </w:rPr>
            </w:pPr>
          </w:p>
        </w:tc>
        <w:tc>
          <w:tcPr>
            <w:tcW w:w="12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5/1/2018</w:t>
            </w:r>
          </w:p>
        </w:tc>
        <w:tc>
          <w:tcPr>
            <w:tcW w:w="10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860" w:type="dxa"/>
            <w:vAlign w:val="bottom"/>
            <w:shd w:val="clear" w:color="auto" w:fill="E9F8FD"/>
          </w:tcPr>
          <w:p>
            <w:pPr>
              <w:ind w:left="580"/>
              <w:spacing w:after="0"/>
              <w:rPr>
                <w:sz w:val="20"/>
                <w:szCs w:val="20"/>
                <w:color w:val="auto"/>
              </w:rPr>
            </w:pPr>
            <w:r>
              <w:rPr>
                <w:rFonts w:ascii="Arial" w:cs="Arial" w:eastAsia="Arial" w:hAnsi="Arial"/>
                <w:sz w:val="16"/>
                <w:szCs w:val="16"/>
                <w:color w:val="42B6E9"/>
              </w:rPr>
              <w:t>—</w:t>
            </w:r>
          </w:p>
        </w:tc>
        <w:tc>
          <w:tcPr>
            <w:tcW w:w="74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1100" w:type="dxa"/>
            <w:vAlign w:val="bottom"/>
            <w:shd w:val="clear" w:color="auto" w:fill="E9F8FD"/>
          </w:tcPr>
          <w:p>
            <w:pPr>
              <w:jc w:val="right"/>
              <w:ind w:right="2"/>
              <w:spacing w:after="0"/>
              <w:rPr>
                <w:sz w:val="20"/>
                <w:szCs w:val="20"/>
                <w:color w:val="auto"/>
              </w:rPr>
            </w:pPr>
            <w:r>
              <w:rPr>
                <w:rFonts w:ascii="Arial" w:cs="Arial" w:eastAsia="Arial" w:hAnsi="Arial"/>
                <w:sz w:val="16"/>
                <w:szCs w:val="16"/>
                <w:color w:val="42B6E9"/>
              </w:rPr>
              <w:t>10,060</w:t>
            </w:r>
            <w:r>
              <w:rPr>
                <w:rFonts w:ascii="Arial" w:cs="Arial" w:eastAsia="Arial" w:hAnsi="Arial"/>
                <w:sz w:val="26"/>
                <w:szCs w:val="26"/>
                <w:color w:val="42B6E9"/>
                <w:vertAlign w:val="superscript"/>
              </w:rPr>
              <w:t>(10)</w:t>
            </w:r>
          </w:p>
        </w:tc>
        <w:tc>
          <w:tcPr>
            <w:tcW w:w="8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183,494</w:t>
            </w:r>
          </w:p>
        </w:tc>
        <w:tc>
          <w:tcPr>
            <w:tcW w:w="1200" w:type="dxa"/>
            <w:vAlign w:val="bottom"/>
            <w:shd w:val="clear" w:color="auto" w:fill="E9F8FD"/>
          </w:tcPr>
          <w:p>
            <w:pPr>
              <w:ind w:left="880"/>
              <w:spacing w:after="0"/>
              <w:rPr>
                <w:sz w:val="20"/>
                <w:szCs w:val="20"/>
                <w:color w:val="auto"/>
              </w:rPr>
            </w:pPr>
            <w:r>
              <w:rPr>
                <w:rFonts w:ascii="Arial" w:cs="Arial" w:eastAsia="Arial" w:hAnsi="Arial"/>
                <w:sz w:val="16"/>
                <w:szCs w:val="16"/>
                <w:color w:val="42B6E9"/>
              </w:rPr>
              <w:t>—</w:t>
            </w:r>
          </w:p>
        </w:tc>
        <w:tc>
          <w:tcPr>
            <w:tcW w:w="1140" w:type="dxa"/>
            <w:vAlign w:val="bottom"/>
            <w:shd w:val="clear" w:color="auto" w:fill="E9F8FD"/>
          </w:tcPr>
          <w:p>
            <w:pPr>
              <w:jc w:val="right"/>
              <w:ind w:right="23"/>
              <w:spacing w:after="0"/>
              <w:rPr>
                <w:sz w:val="20"/>
                <w:szCs w:val="20"/>
                <w:color w:val="auto"/>
              </w:rPr>
            </w:pPr>
            <w:r>
              <w:rPr>
                <w:rFonts w:ascii="Arial" w:cs="Arial" w:eastAsia="Arial" w:hAnsi="Arial"/>
                <w:sz w:val="16"/>
                <w:szCs w:val="16"/>
                <w:color w:val="42B6E9"/>
              </w:rPr>
              <w:t>—</w:t>
            </w:r>
          </w:p>
        </w:tc>
      </w:tr>
      <w:tr>
        <w:trPr>
          <w:trHeight w:val="351"/>
        </w:trPr>
        <w:tc>
          <w:tcPr>
            <w:tcW w:w="1360" w:type="dxa"/>
            <w:vAlign w:val="bottom"/>
            <w:shd w:val="clear" w:color="auto" w:fill="E9F8FD"/>
          </w:tcPr>
          <w:p>
            <w:pPr>
              <w:spacing w:after="0"/>
              <w:rPr>
                <w:sz w:val="24"/>
                <w:szCs w:val="24"/>
                <w:color w:val="auto"/>
              </w:rPr>
            </w:pPr>
          </w:p>
        </w:tc>
        <w:tc>
          <w:tcPr>
            <w:tcW w:w="12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1/1/2019</w:t>
            </w:r>
          </w:p>
        </w:tc>
        <w:tc>
          <w:tcPr>
            <w:tcW w:w="10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860" w:type="dxa"/>
            <w:vAlign w:val="bottom"/>
            <w:shd w:val="clear" w:color="auto" w:fill="E9F8FD"/>
          </w:tcPr>
          <w:p>
            <w:pPr>
              <w:ind w:left="580"/>
              <w:spacing w:after="0"/>
              <w:rPr>
                <w:sz w:val="20"/>
                <w:szCs w:val="20"/>
                <w:color w:val="auto"/>
              </w:rPr>
            </w:pPr>
            <w:r>
              <w:rPr>
                <w:rFonts w:ascii="Arial" w:cs="Arial" w:eastAsia="Arial" w:hAnsi="Arial"/>
                <w:sz w:val="16"/>
                <w:szCs w:val="16"/>
                <w:color w:val="42B6E9"/>
              </w:rPr>
              <w:t>—</w:t>
            </w:r>
          </w:p>
        </w:tc>
        <w:tc>
          <w:tcPr>
            <w:tcW w:w="74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1100" w:type="dxa"/>
            <w:vAlign w:val="bottom"/>
            <w:shd w:val="clear" w:color="auto" w:fill="E9F8FD"/>
          </w:tcPr>
          <w:p>
            <w:pPr>
              <w:jc w:val="right"/>
              <w:ind w:right="2"/>
              <w:spacing w:after="0"/>
              <w:rPr>
                <w:sz w:val="20"/>
                <w:szCs w:val="20"/>
                <w:color w:val="auto"/>
              </w:rPr>
            </w:pPr>
            <w:r>
              <w:rPr>
                <w:rFonts w:ascii="Arial" w:cs="Arial" w:eastAsia="Arial" w:hAnsi="Arial"/>
                <w:sz w:val="16"/>
                <w:szCs w:val="16"/>
                <w:color w:val="42B6E9"/>
              </w:rPr>
              <w:t>65,820</w:t>
            </w:r>
            <w:r>
              <w:rPr>
                <w:rFonts w:ascii="Arial" w:cs="Arial" w:eastAsia="Arial" w:hAnsi="Arial"/>
                <w:sz w:val="26"/>
                <w:szCs w:val="26"/>
                <w:color w:val="42B6E9"/>
                <w:vertAlign w:val="superscript"/>
              </w:rPr>
              <w:t>(4)</w:t>
            </w:r>
          </w:p>
        </w:tc>
        <w:tc>
          <w:tcPr>
            <w:tcW w:w="8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1,200,557</w:t>
            </w:r>
          </w:p>
        </w:tc>
        <w:tc>
          <w:tcPr>
            <w:tcW w:w="1200" w:type="dxa"/>
            <w:vAlign w:val="bottom"/>
            <w:shd w:val="clear" w:color="auto" w:fill="E9F8FD"/>
          </w:tcPr>
          <w:p>
            <w:pPr>
              <w:ind w:left="880"/>
              <w:spacing w:after="0"/>
              <w:rPr>
                <w:sz w:val="20"/>
                <w:szCs w:val="20"/>
                <w:color w:val="auto"/>
              </w:rPr>
            </w:pPr>
            <w:r>
              <w:rPr>
                <w:rFonts w:ascii="Arial" w:cs="Arial" w:eastAsia="Arial" w:hAnsi="Arial"/>
                <w:sz w:val="16"/>
                <w:szCs w:val="16"/>
                <w:color w:val="42B6E9"/>
              </w:rPr>
              <w:t>—</w:t>
            </w:r>
          </w:p>
        </w:tc>
        <w:tc>
          <w:tcPr>
            <w:tcW w:w="1140" w:type="dxa"/>
            <w:vAlign w:val="bottom"/>
            <w:shd w:val="clear" w:color="auto" w:fill="E9F8FD"/>
          </w:tcPr>
          <w:p>
            <w:pPr>
              <w:jc w:val="right"/>
              <w:ind w:right="23"/>
              <w:spacing w:after="0"/>
              <w:rPr>
                <w:sz w:val="20"/>
                <w:szCs w:val="20"/>
                <w:color w:val="auto"/>
              </w:rPr>
            </w:pPr>
            <w:r>
              <w:rPr>
                <w:rFonts w:ascii="Arial" w:cs="Arial" w:eastAsia="Arial" w:hAnsi="Arial"/>
                <w:sz w:val="16"/>
                <w:szCs w:val="16"/>
                <w:color w:val="42B6E9"/>
              </w:rPr>
              <w:t>—</w:t>
            </w:r>
          </w:p>
        </w:tc>
      </w:tr>
      <w:tr>
        <w:trPr>
          <w:trHeight w:val="351"/>
        </w:trPr>
        <w:tc>
          <w:tcPr>
            <w:tcW w:w="1360" w:type="dxa"/>
            <w:vAlign w:val="bottom"/>
            <w:shd w:val="clear" w:color="auto" w:fill="E9F8FD"/>
          </w:tcPr>
          <w:p>
            <w:pPr>
              <w:spacing w:after="0"/>
              <w:rPr>
                <w:sz w:val="24"/>
                <w:szCs w:val="24"/>
                <w:color w:val="auto"/>
              </w:rPr>
            </w:pPr>
          </w:p>
        </w:tc>
        <w:tc>
          <w:tcPr>
            <w:tcW w:w="12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4/1/2019</w:t>
            </w:r>
          </w:p>
        </w:tc>
        <w:tc>
          <w:tcPr>
            <w:tcW w:w="10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860" w:type="dxa"/>
            <w:vAlign w:val="bottom"/>
            <w:shd w:val="clear" w:color="auto" w:fill="E9F8FD"/>
          </w:tcPr>
          <w:p>
            <w:pPr>
              <w:ind w:left="580"/>
              <w:spacing w:after="0"/>
              <w:rPr>
                <w:sz w:val="20"/>
                <w:szCs w:val="20"/>
                <w:color w:val="auto"/>
              </w:rPr>
            </w:pPr>
            <w:r>
              <w:rPr>
                <w:rFonts w:ascii="Arial" w:cs="Arial" w:eastAsia="Arial" w:hAnsi="Arial"/>
                <w:sz w:val="16"/>
                <w:szCs w:val="16"/>
                <w:color w:val="42B6E9"/>
              </w:rPr>
              <w:t>—</w:t>
            </w:r>
          </w:p>
        </w:tc>
        <w:tc>
          <w:tcPr>
            <w:tcW w:w="74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1100" w:type="dxa"/>
            <w:vAlign w:val="bottom"/>
            <w:shd w:val="clear" w:color="auto" w:fill="E9F8FD"/>
          </w:tcPr>
          <w:p>
            <w:pPr>
              <w:jc w:val="right"/>
              <w:ind w:right="2"/>
              <w:spacing w:after="0"/>
              <w:rPr>
                <w:sz w:val="20"/>
                <w:szCs w:val="20"/>
                <w:color w:val="auto"/>
              </w:rPr>
            </w:pPr>
            <w:r>
              <w:rPr>
                <w:rFonts w:ascii="Arial" w:cs="Arial" w:eastAsia="Arial" w:hAnsi="Arial"/>
                <w:sz w:val="16"/>
                <w:szCs w:val="16"/>
                <w:color w:val="42B6E9"/>
              </w:rPr>
              <w:t>22,690</w:t>
            </w:r>
            <w:r>
              <w:rPr>
                <w:rFonts w:ascii="Arial" w:cs="Arial" w:eastAsia="Arial" w:hAnsi="Arial"/>
                <w:sz w:val="26"/>
                <w:szCs w:val="26"/>
                <w:color w:val="42B6E9"/>
                <w:vertAlign w:val="superscript"/>
              </w:rPr>
              <w:t>(9)</w:t>
            </w:r>
          </w:p>
        </w:tc>
        <w:tc>
          <w:tcPr>
            <w:tcW w:w="8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413,866</w:t>
            </w:r>
          </w:p>
        </w:tc>
        <w:tc>
          <w:tcPr>
            <w:tcW w:w="1200" w:type="dxa"/>
            <w:vAlign w:val="bottom"/>
            <w:shd w:val="clear" w:color="auto" w:fill="E9F8FD"/>
          </w:tcPr>
          <w:p>
            <w:pPr>
              <w:ind w:left="880"/>
              <w:spacing w:after="0"/>
              <w:rPr>
                <w:sz w:val="20"/>
                <w:szCs w:val="20"/>
                <w:color w:val="auto"/>
              </w:rPr>
            </w:pPr>
            <w:r>
              <w:rPr>
                <w:rFonts w:ascii="Arial" w:cs="Arial" w:eastAsia="Arial" w:hAnsi="Arial"/>
                <w:sz w:val="16"/>
                <w:szCs w:val="16"/>
                <w:color w:val="42B6E9"/>
              </w:rPr>
              <w:t>—</w:t>
            </w:r>
          </w:p>
        </w:tc>
        <w:tc>
          <w:tcPr>
            <w:tcW w:w="1140" w:type="dxa"/>
            <w:vAlign w:val="bottom"/>
            <w:shd w:val="clear" w:color="auto" w:fill="E9F8FD"/>
          </w:tcPr>
          <w:p>
            <w:pPr>
              <w:jc w:val="right"/>
              <w:ind w:right="23"/>
              <w:spacing w:after="0"/>
              <w:rPr>
                <w:sz w:val="20"/>
                <w:szCs w:val="20"/>
                <w:color w:val="auto"/>
              </w:rPr>
            </w:pPr>
            <w:r>
              <w:rPr>
                <w:rFonts w:ascii="Arial" w:cs="Arial" w:eastAsia="Arial" w:hAnsi="Arial"/>
                <w:sz w:val="16"/>
                <w:szCs w:val="16"/>
                <w:color w:val="42B6E9"/>
              </w:rPr>
              <w:t>—</w:t>
            </w:r>
          </w:p>
        </w:tc>
      </w:tr>
      <w:tr>
        <w:trPr>
          <w:trHeight w:val="364"/>
        </w:trPr>
        <w:tc>
          <w:tcPr>
            <w:tcW w:w="1360" w:type="dxa"/>
            <w:vAlign w:val="bottom"/>
            <w:shd w:val="clear" w:color="auto" w:fill="E9F8FD"/>
          </w:tcPr>
          <w:p>
            <w:pPr>
              <w:spacing w:after="0"/>
              <w:rPr>
                <w:sz w:val="24"/>
                <w:szCs w:val="24"/>
                <w:color w:val="auto"/>
              </w:rPr>
            </w:pPr>
          </w:p>
        </w:tc>
        <w:tc>
          <w:tcPr>
            <w:tcW w:w="12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9/1/2020</w:t>
            </w:r>
          </w:p>
        </w:tc>
        <w:tc>
          <w:tcPr>
            <w:tcW w:w="10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860" w:type="dxa"/>
            <w:vAlign w:val="bottom"/>
            <w:shd w:val="clear" w:color="auto" w:fill="E9F8FD"/>
          </w:tcPr>
          <w:p>
            <w:pPr>
              <w:ind w:left="580"/>
              <w:spacing w:after="0"/>
              <w:rPr>
                <w:sz w:val="20"/>
                <w:szCs w:val="20"/>
                <w:color w:val="auto"/>
              </w:rPr>
            </w:pPr>
            <w:r>
              <w:rPr>
                <w:rFonts w:ascii="Arial" w:cs="Arial" w:eastAsia="Arial" w:hAnsi="Arial"/>
                <w:sz w:val="16"/>
                <w:szCs w:val="16"/>
                <w:color w:val="42B6E9"/>
              </w:rPr>
              <w:t>—</w:t>
            </w:r>
          </w:p>
        </w:tc>
        <w:tc>
          <w:tcPr>
            <w:tcW w:w="74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1100" w:type="dxa"/>
            <w:vAlign w:val="bottom"/>
            <w:shd w:val="clear" w:color="auto" w:fill="E9F8FD"/>
          </w:tcPr>
          <w:p>
            <w:pPr>
              <w:jc w:val="right"/>
              <w:ind w:right="2"/>
              <w:spacing w:after="0"/>
              <w:rPr>
                <w:sz w:val="20"/>
                <w:szCs w:val="20"/>
                <w:color w:val="auto"/>
              </w:rPr>
            </w:pPr>
            <w:r>
              <w:rPr>
                <w:rFonts w:ascii="Arial" w:cs="Arial" w:eastAsia="Arial" w:hAnsi="Arial"/>
                <w:sz w:val="16"/>
                <w:szCs w:val="16"/>
                <w:color w:val="42B6E9"/>
              </w:rPr>
              <w:t>93,751</w:t>
            </w:r>
            <w:r>
              <w:rPr>
                <w:rFonts w:ascii="Arial" w:cs="Arial" w:eastAsia="Arial" w:hAnsi="Arial"/>
                <w:sz w:val="26"/>
                <w:szCs w:val="26"/>
                <w:color w:val="42B6E9"/>
                <w:vertAlign w:val="superscript"/>
              </w:rPr>
              <w:t>(6)</w:t>
            </w:r>
          </w:p>
        </w:tc>
        <w:tc>
          <w:tcPr>
            <w:tcW w:w="8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1,710,018</w:t>
            </w:r>
          </w:p>
        </w:tc>
        <w:tc>
          <w:tcPr>
            <w:tcW w:w="1200" w:type="dxa"/>
            <w:vAlign w:val="bottom"/>
            <w:shd w:val="clear" w:color="auto" w:fill="E9F8FD"/>
          </w:tcPr>
          <w:p>
            <w:pPr>
              <w:ind w:left="880"/>
              <w:spacing w:after="0"/>
              <w:rPr>
                <w:sz w:val="20"/>
                <w:szCs w:val="20"/>
                <w:color w:val="auto"/>
              </w:rPr>
            </w:pPr>
            <w:r>
              <w:rPr>
                <w:rFonts w:ascii="Arial" w:cs="Arial" w:eastAsia="Arial" w:hAnsi="Arial"/>
                <w:sz w:val="16"/>
                <w:szCs w:val="16"/>
                <w:color w:val="42B6E9"/>
              </w:rPr>
              <w:t>—</w:t>
            </w:r>
          </w:p>
        </w:tc>
        <w:tc>
          <w:tcPr>
            <w:tcW w:w="1140" w:type="dxa"/>
            <w:vAlign w:val="bottom"/>
            <w:shd w:val="clear" w:color="auto" w:fill="E9F8FD"/>
          </w:tcPr>
          <w:p>
            <w:pPr>
              <w:jc w:val="right"/>
              <w:ind w:right="23"/>
              <w:spacing w:after="0"/>
              <w:rPr>
                <w:sz w:val="20"/>
                <w:szCs w:val="20"/>
                <w:color w:val="auto"/>
              </w:rPr>
            </w:pPr>
            <w:r>
              <w:rPr>
                <w:rFonts w:ascii="Arial" w:cs="Arial" w:eastAsia="Arial" w:hAnsi="Arial"/>
                <w:sz w:val="16"/>
                <w:szCs w:val="16"/>
                <w:color w:val="42B6E9"/>
              </w:rPr>
              <w:t>—</w:t>
            </w:r>
          </w:p>
        </w:tc>
      </w:tr>
      <w:tr>
        <w:trPr>
          <w:trHeight w:val="365"/>
        </w:trPr>
        <w:tc>
          <w:tcPr>
            <w:tcW w:w="136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Pai Liu</w:t>
            </w:r>
          </w:p>
        </w:tc>
        <w:tc>
          <w:tcPr>
            <w:tcW w:w="12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9/23/2019</w:t>
            </w:r>
          </w:p>
        </w:tc>
        <w:tc>
          <w:tcPr>
            <w:tcW w:w="10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860" w:type="dxa"/>
            <w:vAlign w:val="bottom"/>
            <w:shd w:val="clear" w:color="auto" w:fill="E9F8FD"/>
          </w:tcPr>
          <w:p>
            <w:pPr>
              <w:ind w:left="580"/>
              <w:spacing w:after="0"/>
              <w:rPr>
                <w:sz w:val="20"/>
                <w:szCs w:val="20"/>
                <w:color w:val="auto"/>
              </w:rPr>
            </w:pPr>
            <w:r>
              <w:rPr>
                <w:rFonts w:ascii="Arial" w:cs="Arial" w:eastAsia="Arial" w:hAnsi="Arial"/>
                <w:sz w:val="16"/>
                <w:szCs w:val="16"/>
                <w:color w:val="42B6E9"/>
              </w:rPr>
              <w:t>—</w:t>
            </w:r>
          </w:p>
        </w:tc>
        <w:tc>
          <w:tcPr>
            <w:tcW w:w="74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1100" w:type="dxa"/>
            <w:vAlign w:val="bottom"/>
            <w:shd w:val="clear" w:color="auto" w:fill="E9F8FD"/>
          </w:tcPr>
          <w:p>
            <w:pPr>
              <w:jc w:val="right"/>
              <w:ind w:right="2"/>
              <w:spacing w:after="0"/>
              <w:rPr>
                <w:sz w:val="20"/>
                <w:szCs w:val="20"/>
                <w:color w:val="auto"/>
              </w:rPr>
            </w:pPr>
            <w:r>
              <w:rPr>
                <w:rFonts w:ascii="Arial" w:cs="Arial" w:eastAsia="Arial" w:hAnsi="Arial"/>
                <w:sz w:val="16"/>
                <w:szCs w:val="16"/>
                <w:color w:val="42B6E9"/>
              </w:rPr>
              <w:t>81,090</w:t>
            </w:r>
            <w:r>
              <w:rPr>
                <w:rFonts w:ascii="Arial" w:cs="Arial" w:eastAsia="Arial" w:hAnsi="Arial"/>
                <w:sz w:val="26"/>
                <w:szCs w:val="26"/>
                <w:color w:val="42B6E9"/>
                <w:vertAlign w:val="superscript"/>
              </w:rPr>
              <w:t>(4)</w:t>
            </w:r>
          </w:p>
        </w:tc>
        <w:tc>
          <w:tcPr>
            <w:tcW w:w="8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1,479,082</w:t>
            </w:r>
          </w:p>
        </w:tc>
        <w:tc>
          <w:tcPr>
            <w:tcW w:w="1200" w:type="dxa"/>
            <w:vAlign w:val="bottom"/>
            <w:shd w:val="clear" w:color="auto" w:fill="E9F8FD"/>
          </w:tcPr>
          <w:p>
            <w:pPr>
              <w:ind w:left="880"/>
              <w:spacing w:after="0"/>
              <w:rPr>
                <w:sz w:val="20"/>
                <w:szCs w:val="20"/>
                <w:color w:val="auto"/>
              </w:rPr>
            </w:pPr>
            <w:r>
              <w:rPr>
                <w:rFonts w:ascii="Arial" w:cs="Arial" w:eastAsia="Arial" w:hAnsi="Arial"/>
                <w:sz w:val="16"/>
                <w:szCs w:val="16"/>
                <w:color w:val="42B6E9"/>
              </w:rPr>
              <w:t>—</w:t>
            </w:r>
          </w:p>
        </w:tc>
        <w:tc>
          <w:tcPr>
            <w:tcW w:w="1140" w:type="dxa"/>
            <w:vAlign w:val="bottom"/>
            <w:shd w:val="clear" w:color="auto" w:fill="E9F8FD"/>
          </w:tcPr>
          <w:p>
            <w:pPr>
              <w:jc w:val="right"/>
              <w:ind w:right="23"/>
              <w:spacing w:after="0"/>
              <w:rPr>
                <w:sz w:val="20"/>
                <w:szCs w:val="20"/>
                <w:color w:val="auto"/>
              </w:rPr>
            </w:pPr>
            <w:r>
              <w:rPr>
                <w:rFonts w:ascii="Arial" w:cs="Arial" w:eastAsia="Arial" w:hAnsi="Arial"/>
                <w:sz w:val="16"/>
                <w:szCs w:val="16"/>
                <w:color w:val="42B6E9"/>
              </w:rPr>
              <w:t>—</w:t>
            </w:r>
          </w:p>
        </w:tc>
      </w:tr>
      <w:tr>
        <w:trPr>
          <w:trHeight w:val="338"/>
        </w:trPr>
        <w:tc>
          <w:tcPr>
            <w:tcW w:w="1360" w:type="dxa"/>
            <w:vAlign w:val="bottom"/>
            <w:shd w:val="clear" w:color="auto" w:fill="E9F8FD"/>
          </w:tcPr>
          <w:p>
            <w:pPr>
              <w:spacing w:after="0"/>
              <w:rPr>
                <w:sz w:val="24"/>
                <w:szCs w:val="24"/>
                <w:color w:val="auto"/>
              </w:rPr>
            </w:pPr>
          </w:p>
        </w:tc>
        <w:tc>
          <w:tcPr>
            <w:tcW w:w="12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9/1/2020</w:t>
            </w:r>
          </w:p>
        </w:tc>
        <w:tc>
          <w:tcPr>
            <w:tcW w:w="10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_</w:t>
            </w:r>
          </w:p>
        </w:tc>
        <w:tc>
          <w:tcPr>
            <w:tcW w:w="860" w:type="dxa"/>
            <w:vAlign w:val="bottom"/>
            <w:shd w:val="clear" w:color="auto" w:fill="E9F8FD"/>
          </w:tcPr>
          <w:p>
            <w:pPr>
              <w:ind w:left="580"/>
              <w:spacing w:after="0"/>
              <w:rPr>
                <w:sz w:val="20"/>
                <w:szCs w:val="20"/>
                <w:color w:val="auto"/>
              </w:rPr>
            </w:pPr>
            <w:r>
              <w:rPr>
                <w:rFonts w:ascii="Arial" w:cs="Arial" w:eastAsia="Arial" w:hAnsi="Arial"/>
                <w:sz w:val="16"/>
                <w:szCs w:val="16"/>
                <w:color w:val="42B6E9"/>
              </w:rPr>
              <w:t>—</w:t>
            </w:r>
          </w:p>
        </w:tc>
        <w:tc>
          <w:tcPr>
            <w:tcW w:w="74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w:t>
            </w:r>
          </w:p>
        </w:tc>
        <w:tc>
          <w:tcPr>
            <w:tcW w:w="1100" w:type="dxa"/>
            <w:vAlign w:val="bottom"/>
            <w:shd w:val="clear" w:color="auto" w:fill="E9F8FD"/>
          </w:tcPr>
          <w:p>
            <w:pPr>
              <w:jc w:val="right"/>
              <w:ind w:right="2"/>
              <w:spacing w:after="0"/>
              <w:rPr>
                <w:sz w:val="20"/>
                <w:szCs w:val="20"/>
                <w:color w:val="auto"/>
              </w:rPr>
            </w:pPr>
            <w:r>
              <w:rPr>
                <w:rFonts w:ascii="Arial" w:cs="Arial" w:eastAsia="Arial" w:hAnsi="Arial"/>
                <w:sz w:val="16"/>
                <w:szCs w:val="16"/>
                <w:color w:val="42B6E9"/>
              </w:rPr>
              <w:t>110,579</w:t>
            </w:r>
            <w:r>
              <w:rPr>
                <w:rFonts w:ascii="Arial" w:cs="Arial" w:eastAsia="Arial" w:hAnsi="Arial"/>
                <w:sz w:val="26"/>
                <w:szCs w:val="26"/>
                <w:color w:val="42B6E9"/>
                <w:vertAlign w:val="superscript"/>
              </w:rPr>
              <w:t>(6)</w:t>
            </w:r>
          </w:p>
        </w:tc>
        <w:tc>
          <w:tcPr>
            <w:tcW w:w="88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2,016,961</w:t>
            </w:r>
          </w:p>
        </w:tc>
        <w:tc>
          <w:tcPr>
            <w:tcW w:w="1200" w:type="dxa"/>
            <w:vAlign w:val="bottom"/>
            <w:shd w:val="clear" w:color="auto" w:fill="E9F8FD"/>
          </w:tcPr>
          <w:p>
            <w:pPr>
              <w:ind w:left="880"/>
              <w:spacing w:after="0"/>
              <w:rPr>
                <w:sz w:val="20"/>
                <w:szCs w:val="20"/>
                <w:color w:val="auto"/>
              </w:rPr>
            </w:pPr>
            <w:r>
              <w:rPr>
                <w:rFonts w:ascii="Arial" w:cs="Arial" w:eastAsia="Arial" w:hAnsi="Arial"/>
                <w:sz w:val="16"/>
                <w:szCs w:val="16"/>
                <w:color w:val="42B6E9"/>
              </w:rPr>
              <w:t>—</w:t>
            </w:r>
          </w:p>
        </w:tc>
        <w:tc>
          <w:tcPr>
            <w:tcW w:w="1140" w:type="dxa"/>
            <w:vAlign w:val="bottom"/>
            <w:shd w:val="clear" w:color="auto" w:fill="E9F8FD"/>
          </w:tcPr>
          <w:p>
            <w:pPr>
              <w:jc w:val="right"/>
              <w:ind w:right="23"/>
              <w:spacing w:after="0"/>
              <w:rPr>
                <w:sz w:val="20"/>
                <w:szCs w:val="20"/>
                <w:color w:val="auto"/>
              </w:rPr>
            </w:pPr>
            <w:r>
              <w:rPr>
                <w:rFonts w:ascii="Arial" w:cs="Arial" w:eastAsia="Arial" w:hAnsi="Arial"/>
                <w:sz w:val="16"/>
                <w:szCs w:val="16"/>
                <w:color w:val="42B6E9"/>
              </w:rPr>
              <w:t>—</w:t>
            </w:r>
          </w:p>
        </w:tc>
      </w:tr>
    </w:tbl>
    <w:p>
      <w:pPr>
        <w:spacing w:after="0" w:line="200" w:lineRule="exact"/>
        <w:rPr>
          <w:sz w:val="20"/>
          <w:szCs w:val="20"/>
          <w:color w:val="auto"/>
        </w:rPr>
      </w:pPr>
    </w:p>
    <w:p>
      <w:pPr>
        <w:sectPr>
          <w:pgSz w:w="11900" w:h="16838" w:orient="portrait"/>
          <w:cols w:equalWidth="0" w:num="1">
            <w:col w:w="9564"/>
          </w:cols>
          <w:pgMar w:left="1156" w:top="265" w:right="1179" w:bottom="1440" w:gutter="0" w:footer="0" w:header="0"/>
        </w:sectPr>
      </w:pPr>
    </w:p>
    <w:p>
      <w:pPr>
        <w:spacing w:after="0" w:line="16" w:lineRule="exact"/>
        <w:rPr>
          <w:sz w:val="20"/>
          <w:szCs w:val="20"/>
          <w:color w:val="auto"/>
        </w:rPr>
      </w:pPr>
    </w:p>
    <w:p>
      <w:pPr>
        <w:ind w:left="524" w:hanging="524"/>
        <w:spacing w:after="0"/>
        <w:tabs>
          <w:tab w:leader="none" w:pos="524"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type w:val="continuous"/>
        </w:sectPr>
      </w:pPr>
    </w:p>
    <w:bookmarkStart w:id="33" w:name="page34"/>
    <w:bookmarkEnd w:id="33"/>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42B6E9"/>
        </w:rPr>
        <w:t>EXECUTIVE COMPENSATION (continued)</w:t>
      </w:r>
    </w:p>
    <w:p>
      <w:pPr>
        <w:spacing w:after="0" w:line="304" w:lineRule="exact"/>
        <w:rPr>
          <w:sz w:val="20"/>
          <w:szCs w:val="20"/>
          <w:color w:val="auto"/>
        </w:rPr>
      </w:pPr>
    </w:p>
    <w:p>
      <w:pPr>
        <w:ind w:left="960" w:hanging="244"/>
        <w:spacing w:after="0"/>
        <w:tabs>
          <w:tab w:leader="none" w:pos="96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Market value is based on the closing price of our Class A common stock on December 31, 2020, which was $18.24 per share.</w:t>
      </w:r>
    </w:p>
    <w:p>
      <w:pPr>
        <w:spacing w:after="0" w:line="8" w:lineRule="exact"/>
        <w:rPr>
          <w:sz w:val="20"/>
          <w:szCs w:val="20"/>
          <w:color w:val="auto"/>
        </w:rPr>
      </w:pPr>
    </w:p>
    <w:p>
      <w:pPr>
        <w:ind w:left="960" w:right="740" w:hanging="244"/>
        <w:spacing w:after="0" w:line="214" w:lineRule="auto"/>
        <w:tabs>
          <w:tab w:leader="none" w:pos="960" w:val="left"/>
        </w:tabs>
        <w:numPr>
          <w:ilvl w:val="0"/>
          <w:numId w:val="46"/>
        </w:numPr>
        <w:rPr>
          <w:rFonts w:ascii="Arial" w:cs="Arial" w:eastAsia="Arial" w:hAnsi="Arial"/>
          <w:sz w:val="22"/>
          <w:szCs w:val="22"/>
          <w:color w:val="auto"/>
          <w:vertAlign w:val="superscript"/>
        </w:rPr>
      </w:pPr>
      <w:r>
        <w:rPr>
          <w:rFonts w:ascii="Arial" w:cs="Arial" w:eastAsia="Arial" w:hAnsi="Arial"/>
          <w:sz w:val="14"/>
          <w:szCs w:val="14"/>
          <w:color w:val="auto"/>
        </w:rPr>
        <w:t>RSUs granted to our executive officers other than Mr. Szulczewski prior to our initial public offering only vest upon the satisfaction of both (i) a service-based vesting condition and (ii) a liquidity-based vesting condition. The liquidity-based vesting condition was satisfied upon the effectiveness of our initial public offering, and all of the RSUs, other than Mr. Szulczewski’s grant of RSUs noted in the footnotes below, are subject solely to service-based vesting.</w:t>
      </w:r>
    </w:p>
    <w:p>
      <w:pPr>
        <w:spacing w:after="0" w:line="2" w:lineRule="exact"/>
        <w:rPr>
          <w:rFonts w:ascii="Arial" w:cs="Arial" w:eastAsia="Arial" w:hAnsi="Arial"/>
          <w:sz w:val="22"/>
          <w:szCs w:val="22"/>
          <w:color w:val="auto"/>
          <w:vertAlign w:val="superscript"/>
        </w:rPr>
      </w:pPr>
    </w:p>
    <w:p>
      <w:pPr>
        <w:ind w:left="960" w:hanging="244"/>
        <w:spacing w:after="0" w:line="183" w:lineRule="auto"/>
        <w:tabs>
          <w:tab w:leader="none" w:pos="960" w:val="left"/>
        </w:tabs>
        <w:numPr>
          <w:ilvl w:val="0"/>
          <w:numId w:val="46"/>
        </w:numPr>
        <w:rPr>
          <w:rFonts w:ascii="Arial" w:cs="Arial" w:eastAsia="Arial" w:hAnsi="Arial"/>
          <w:sz w:val="20"/>
          <w:szCs w:val="20"/>
          <w:color w:val="auto"/>
          <w:vertAlign w:val="superscript"/>
        </w:rPr>
      </w:pPr>
      <w:r>
        <w:rPr>
          <w:rFonts w:ascii="Arial" w:cs="Arial" w:eastAsia="Arial" w:hAnsi="Arial"/>
          <w:sz w:val="14"/>
          <w:szCs w:val="14"/>
          <w:color w:val="auto"/>
        </w:rPr>
        <w:t>The shares subject to this option were fully vested as of November 17, 2017.</w:t>
      </w:r>
    </w:p>
    <w:p>
      <w:pPr>
        <w:spacing w:after="0" w:line="16" w:lineRule="exact"/>
        <w:rPr>
          <w:rFonts w:ascii="Arial" w:cs="Arial" w:eastAsia="Arial" w:hAnsi="Arial"/>
          <w:sz w:val="20"/>
          <w:szCs w:val="20"/>
          <w:color w:val="auto"/>
          <w:vertAlign w:val="superscript"/>
        </w:rPr>
      </w:pPr>
    </w:p>
    <w:p>
      <w:pPr>
        <w:ind w:left="960" w:hanging="244"/>
        <w:spacing w:after="0" w:line="189" w:lineRule="auto"/>
        <w:tabs>
          <w:tab w:leader="none" w:pos="960" w:val="left"/>
        </w:tabs>
        <w:numPr>
          <w:ilvl w:val="0"/>
          <w:numId w:val="46"/>
        </w:numPr>
        <w:rPr>
          <w:rFonts w:ascii="Arial" w:cs="Arial" w:eastAsia="Arial" w:hAnsi="Arial"/>
          <w:sz w:val="19"/>
          <w:szCs w:val="19"/>
          <w:color w:val="auto"/>
          <w:vertAlign w:val="superscript"/>
        </w:rPr>
      </w:pPr>
      <w:r>
        <w:rPr>
          <w:rFonts w:ascii="Arial" w:cs="Arial" w:eastAsia="Arial" w:hAnsi="Arial"/>
          <w:sz w:val="13"/>
          <w:szCs w:val="13"/>
          <w:color w:val="auto"/>
        </w:rPr>
        <w:t>The shares subject to this option were fully vested as of June 9, 2018.</w:t>
      </w:r>
    </w:p>
    <w:p>
      <w:pPr>
        <w:spacing w:after="0" w:line="3" w:lineRule="exact"/>
        <w:rPr>
          <w:rFonts w:ascii="Arial" w:cs="Arial" w:eastAsia="Arial" w:hAnsi="Arial"/>
          <w:sz w:val="19"/>
          <w:szCs w:val="19"/>
          <w:color w:val="auto"/>
          <w:vertAlign w:val="superscript"/>
        </w:rPr>
      </w:pPr>
    </w:p>
    <w:p>
      <w:pPr>
        <w:jc w:val="both"/>
        <w:ind w:left="960" w:right="1040" w:hanging="244"/>
        <w:spacing w:after="0" w:line="207" w:lineRule="auto"/>
        <w:tabs>
          <w:tab w:leader="none" w:pos="960" w:val="left"/>
        </w:tabs>
        <w:numPr>
          <w:ilvl w:val="0"/>
          <w:numId w:val="46"/>
        </w:numPr>
        <w:rPr>
          <w:rFonts w:ascii="Arial" w:cs="Arial" w:eastAsia="Arial" w:hAnsi="Arial"/>
          <w:sz w:val="22"/>
          <w:szCs w:val="22"/>
          <w:color w:val="auto"/>
          <w:vertAlign w:val="superscript"/>
        </w:rPr>
      </w:pPr>
      <w:r>
        <w:rPr>
          <w:rFonts w:ascii="Arial" w:cs="Arial" w:eastAsia="Arial" w:hAnsi="Arial"/>
          <w:sz w:val="14"/>
          <w:szCs w:val="14"/>
          <w:color w:val="auto"/>
        </w:rPr>
        <w:t>The service-based vesting condition is satisfied as to 1/4th of the total shares of Class B common stock underlying the RSU award on the 12-month anniversary of the Vesting Commencement Date, and the service-based condition is satisfied as to 1/36th of the remaining shares on a monthly basis thereafter, subject to continued service to us through each vesting date.</w:t>
      </w:r>
    </w:p>
    <w:p>
      <w:pPr>
        <w:spacing w:after="0" w:line="3" w:lineRule="exact"/>
        <w:rPr>
          <w:rFonts w:ascii="Arial" w:cs="Arial" w:eastAsia="Arial" w:hAnsi="Arial"/>
          <w:sz w:val="22"/>
          <w:szCs w:val="22"/>
          <w:color w:val="auto"/>
          <w:vertAlign w:val="superscript"/>
        </w:rPr>
      </w:pPr>
    </w:p>
    <w:p>
      <w:pPr>
        <w:ind w:left="960" w:right="840" w:hanging="244"/>
        <w:spacing w:after="0" w:line="193" w:lineRule="auto"/>
        <w:tabs>
          <w:tab w:leader="none" w:pos="960" w:val="left"/>
        </w:tabs>
        <w:numPr>
          <w:ilvl w:val="0"/>
          <w:numId w:val="46"/>
        </w:numPr>
        <w:rPr>
          <w:rFonts w:ascii="Arial" w:cs="Arial" w:eastAsia="Arial" w:hAnsi="Arial"/>
          <w:sz w:val="22"/>
          <w:szCs w:val="22"/>
          <w:color w:val="auto"/>
          <w:vertAlign w:val="superscript"/>
        </w:rPr>
      </w:pPr>
      <w:r>
        <w:rPr>
          <w:rFonts w:ascii="Arial" w:cs="Arial" w:eastAsia="Arial" w:hAnsi="Arial"/>
          <w:sz w:val="14"/>
          <w:szCs w:val="14"/>
          <w:color w:val="auto"/>
        </w:rPr>
        <w:t>The service-based vesting condition is satisfied as to 1/60th of the total shares of Class B common stock underlying the RSU award on a monthly basis from the Vesting Commencement Date, subject to continued service to us through each vesting date.</w:t>
      </w:r>
    </w:p>
    <w:p>
      <w:pPr>
        <w:spacing w:after="0" w:line="18" w:lineRule="exact"/>
        <w:rPr>
          <w:rFonts w:ascii="Arial" w:cs="Arial" w:eastAsia="Arial" w:hAnsi="Arial"/>
          <w:sz w:val="22"/>
          <w:szCs w:val="22"/>
          <w:color w:val="auto"/>
          <w:vertAlign w:val="superscript"/>
        </w:rPr>
      </w:pPr>
    </w:p>
    <w:p>
      <w:pPr>
        <w:ind w:left="960" w:right="840" w:hanging="244"/>
        <w:spacing w:after="0" w:line="193" w:lineRule="auto"/>
        <w:tabs>
          <w:tab w:leader="none" w:pos="960" w:val="left"/>
        </w:tabs>
        <w:numPr>
          <w:ilvl w:val="0"/>
          <w:numId w:val="46"/>
        </w:numPr>
        <w:rPr>
          <w:rFonts w:ascii="Arial" w:cs="Arial" w:eastAsia="Arial" w:hAnsi="Arial"/>
          <w:sz w:val="22"/>
          <w:szCs w:val="22"/>
          <w:color w:val="auto"/>
          <w:vertAlign w:val="superscript"/>
        </w:rPr>
      </w:pPr>
      <w:r>
        <w:rPr>
          <w:rFonts w:ascii="Arial" w:cs="Arial" w:eastAsia="Arial" w:hAnsi="Arial"/>
          <w:sz w:val="14"/>
          <w:szCs w:val="14"/>
          <w:color w:val="auto"/>
        </w:rPr>
        <w:t>The service-based vesting condition is satisfied as to 1/48th of the total shares of Class B common stock underlying the RSU award on a monthly basis from the Vesting Commencement Date, subject to continued service to us through each vesting date.</w:t>
      </w:r>
    </w:p>
    <w:p>
      <w:pPr>
        <w:spacing w:after="0" w:line="4" w:lineRule="exact"/>
        <w:rPr>
          <w:rFonts w:ascii="Arial" w:cs="Arial" w:eastAsia="Arial" w:hAnsi="Arial"/>
          <w:sz w:val="22"/>
          <w:szCs w:val="22"/>
          <w:color w:val="auto"/>
          <w:vertAlign w:val="superscript"/>
        </w:rPr>
      </w:pPr>
    </w:p>
    <w:p>
      <w:pPr>
        <w:ind w:left="960" w:right="940" w:hanging="244"/>
        <w:spacing w:after="0" w:line="219" w:lineRule="auto"/>
        <w:tabs>
          <w:tab w:leader="none" w:pos="9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 xml:space="preserve">Mr. Szulczewski received a performance-based RSU award on December 7, 2020, which we refer to as the “CEO Performance Award.” The vesting of the RSUs is contingent upon the achievement of stock price performance targets as well as continued employment as our Chief Executive Officer, as described in detail in the “CEO Performance Award” section of the “Compensation Discussion and analysis” beginning on page </w:t>
      </w:r>
      <w:hyperlink w:anchor="page27">
        <w:r>
          <w:rPr>
            <w:rFonts w:ascii="Arial" w:cs="Arial" w:eastAsia="Arial" w:hAnsi="Arial"/>
            <w:sz w:val="14"/>
            <w:szCs w:val="14"/>
            <w:u w:val="single" w:color="auto"/>
            <w:color w:val="0000EE"/>
          </w:rPr>
          <w:t>22</w:t>
        </w:r>
      </w:hyperlink>
      <w:r>
        <w:rPr>
          <w:rFonts w:ascii="Arial" w:cs="Arial" w:eastAsia="Arial" w:hAnsi="Arial"/>
          <w:sz w:val="14"/>
          <w:szCs w:val="14"/>
          <w:color w:val="auto"/>
        </w:rPr>
        <w:t>. In accordance with SEC rules, the number of shares in the table above and the corresponding value of those shares reflects threshold performance assuming that the first stock price performance target is achieved.</w:t>
      </w:r>
    </w:p>
    <w:p>
      <w:pPr>
        <w:spacing w:after="0" w:line="5" w:lineRule="exact"/>
        <w:rPr>
          <w:rFonts w:ascii="Arial" w:cs="Arial" w:eastAsia="Arial" w:hAnsi="Arial"/>
          <w:sz w:val="14"/>
          <w:szCs w:val="14"/>
          <w:color w:val="auto"/>
        </w:rPr>
      </w:pPr>
    </w:p>
    <w:p>
      <w:pPr>
        <w:ind w:left="960" w:right="800" w:hanging="244"/>
        <w:spacing w:after="0" w:line="207" w:lineRule="auto"/>
        <w:tabs>
          <w:tab w:leader="none" w:pos="960" w:val="left"/>
        </w:tabs>
        <w:numPr>
          <w:ilvl w:val="0"/>
          <w:numId w:val="46"/>
        </w:numPr>
        <w:rPr>
          <w:rFonts w:ascii="Arial" w:cs="Arial" w:eastAsia="Arial" w:hAnsi="Arial"/>
          <w:sz w:val="22"/>
          <w:szCs w:val="22"/>
          <w:color w:val="auto"/>
          <w:vertAlign w:val="superscript"/>
        </w:rPr>
      </w:pPr>
      <w:r>
        <w:rPr>
          <w:rFonts w:ascii="Arial" w:cs="Arial" w:eastAsia="Arial" w:hAnsi="Arial"/>
          <w:sz w:val="14"/>
          <w:szCs w:val="14"/>
          <w:color w:val="auto"/>
        </w:rPr>
        <w:t>The service-based vesting condition is satisfied as to 1/5th of the total shares of Class B common stock underlying the RSU award on the 12-month anniversary of the Vesting Commencement Date, and the service-based condition is satisfied as to 1/20th of the total shares on a quarterly basis thereafter, subject to continued service to us through each vesting date.</w:t>
      </w:r>
    </w:p>
    <w:p>
      <w:pPr>
        <w:spacing w:after="0" w:line="17" w:lineRule="exact"/>
        <w:rPr>
          <w:rFonts w:ascii="Arial" w:cs="Arial" w:eastAsia="Arial" w:hAnsi="Arial"/>
          <w:sz w:val="22"/>
          <w:szCs w:val="22"/>
          <w:color w:val="auto"/>
          <w:vertAlign w:val="superscript"/>
        </w:rPr>
      </w:pPr>
    </w:p>
    <w:p>
      <w:pPr>
        <w:ind w:left="960" w:right="740" w:hanging="244"/>
        <w:spacing w:after="0" w:line="214" w:lineRule="auto"/>
        <w:tabs>
          <w:tab w:leader="none" w:pos="960" w:val="left"/>
        </w:tabs>
        <w:numPr>
          <w:ilvl w:val="0"/>
          <w:numId w:val="46"/>
        </w:numPr>
        <w:rPr>
          <w:rFonts w:ascii="Arial" w:cs="Arial" w:eastAsia="Arial" w:hAnsi="Arial"/>
          <w:sz w:val="22"/>
          <w:szCs w:val="22"/>
          <w:color w:val="auto"/>
          <w:vertAlign w:val="superscript"/>
        </w:rPr>
      </w:pPr>
      <w:r>
        <w:rPr>
          <w:rFonts w:ascii="Arial" w:cs="Arial" w:eastAsia="Arial" w:hAnsi="Arial"/>
          <w:sz w:val="14"/>
          <w:szCs w:val="14"/>
          <w:color w:val="auto"/>
        </w:rPr>
        <w:t>The service-based vesting condition is satisfied on a monthly basis over a period of four years from the Vesting Commencement Date, with 10% of the total shares of Class B common stock underlying the RSU award vesting over the first year, 20% of the total shares vesting over the second year, 30% of the total shares vesting over the third year, and 40% of the total shares vesting over the fourth year, subject to continued service to us through each vesting date.</w:t>
      </w:r>
    </w:p>
    <w:p>
      <w:pPr>
        <w:spacing w:after="0" w:line="5" w:lineRule="exact"/>
        <w:rPr>
          <w:rFonts w:ascii="Arial" w:cs="Arial" w:eastAsia="Arial" w:hAnsi="Arial"/>
          <w:sz w:val="22"/>
          <w:szCs w:val="22"/>
          <w:color w:val="auto"/>
          <w:vertAlign w:val="superscript"/>
        </w:rPr>
      </w:pPr>
    </w:p>
    <w:p>
      <w:pPr>
        <w:jc w:val="both"/>
        <w:ind w:left="960" w:right="1040" w:hanging="244"/>
        <w:spacing w:after="0" w:line="213" w:lineRule="auto"/>
        <w:tabs>
          <w:tab w:leader="none" w:pos="960" w:val="left"/>
        </w:tabs>
        <w:numPr>
          <w:ilvl w:val="0"/>
          <w:numId w:val="46"/>
        </w:numPr>
        <w:rPr>
          <w:rFonts w:ascii="Arial" w:cs="Arial" w:eastAsia="Arial" w:hAnsi="Arial"/>
          <w:sz w:val="20"/>
          <w:szCs w:val="20"/>
          <w:color w:val="auto"/>
          <w:vertAlign w:val="superscript"/>
        </w:rPr>
      </w:pPr>
      <w:r>
        <w:rPr>
          <w:rFonts w:ascii="Arial" w:cs="Arial" w:eastAsia="Arial" w:hAnsi="Arial"/>
          <w:sz w:val="14"/>
          <w:szCs w:val="14"/>
          <w:color w:val="auto"/>
        </w:rPr>
        <w:t>The service-based vesting condition is satisfied as to 1/5th of the total shares of Class B common stock underlying the RSU award on the 12-month anniversary of the Vesting Commencement Date, and the service-based condition is satisfied as to 1/48th of the remaining shares on a monthly basis thereafter, subject to continued service to us through each vesting date.</w:t>
      </w:r>
    </w:p>
    <w:p>
      <w:pPr>
        <w:spacing w:after="0" w:line="1" w:lineRule="exact"/>
        <w:rPr>
          <w:rFonts w:ascii="Arial" w:cs="Arial" w:eastAsia="Arial" w:hAnsi="Arial"/>
          <w:sz w:val="20"/>
          <w:szCs w:val="20"/>
          <w:color w:val="auto"/>
          <w:vertAlign w:val="superscript"/>
        </w:rPr>
      </w:pPr>
    </w:p>
    <w:p>
      <w:pPr>
        <w:ind w:left="960" w:hanging="244"/>
        <w:spacing w:after="0" w:line="188" w:lineRule="auto"/>
        <w:tabs>
          <w:tab w:leader="none" w:pos="960" w:val="left"/>
        </w:tabs>
        <w:numPr>
          <w:ilvl w:val="0"/>
          <w:numId w:val="46"/>
        </w:numPr>
        <w:rPr>
          <w:rFonts w:ascii="Arial" w:cs="Arial" w:eastAsia="Arial" w:hAnsi="Arial"/>
          <w:sz w:val="20"/>
          <w:szCs w:val="20"/>
          <w:color w:val="auto"/>
          <w:vertAlign w:val="superscript"/>
        </w:rPr>
      </w:pPr>
      <w:r>
        <w:rPr>
          <w:rFonts w:ascii="Arial" w:cs="Arial" w:eastAsia="Arial" w:hAnsi="Arial"/>
          <w:sz w:val="14"/>
          <w:szCs w:val="14"/>
          <w:color w:val="auto"/>
        </w:rPr>
        <w:t>The shares subject to this option were fully vested as of July 1, 2019.</w:t>
      </w:r>
    </w:p>
    <w:p>
      <w:pPr>
        <w:spacing w:after="0" w:line="329" w:lineRule="exact"/>
        <w:rPr>
          <w:sz w:val="20"/>
          <w:szCs w:val="20"/>
          <w:color w:val="auto"/>
        </w:rPr>
      </w:pPr>
    </w:p>
    <w:p>
      <w:pPr>
        <w:ind w:left="720"/>
        <w:spacing w:after="0"/>
        <w:rPr>
          <w:sz w:val="20"/>
          <w:szCs w:val="20"/>
          <w:color w:val="auto"/>
        </w:rPr>
      </w:pPr>
      <w:r>
        <w:rPr>
          <w:rFonts w:ascii="Arial" w:cs="Arial" w:eastAsia="Arial" w:hAnsi="Arial"/>
          <w:sz w:val="26"/>
          <w:szCs w:val="26"/>
          <w:color w:val="42B6E9"/>
        </w:rPr>
        <w:t>2020 Stock Vested</w:t>
      </w:r>
    </w:p>
    <w:p>
      <w:pPr>
        <w:spacing w:after="0" w:line="19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table sets forth the number of RSUs held by each of our named executive officers that vested during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53340</wp:posOffset>
            </wp:positionV>
            <wp:extent cx="6077585" cy="19716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77585" cy="1971675"/>
                    </a:xfrm>
                    <a:prstGeom prst="rect">
                      <a:avLst/>
                    </a:prstGeom>
                    <a:noFill/>
                  </pic:spPr>
                </pic:pic>
              </a:graphicData>
            </a:graphic>
          </wp:anchor>
        </w:drawing>
      </w:r>
    </w:p>
    <w:p>
      <w:pPr>
        <w:spacing w:after="0" w:line="64" w:lineRule="exact"/>
        <w:rPr>
          <w:sz w:val="20"/>
          <w:szCs w:val="20"/>
          <w:color w:val="auto"/>
        </w:rPr>
      </w:pPr>
    </w:p>
    <w:tbl>
      <w:tblPr>
        <w:tblLayout w:type="fixed"/>
        <w:tblInd w:w="720" w:type="dxa"/>
        <w:tblCellMar>
          <w:top w:w="0" w:type="dxa"/>
          <w:left w:w="0" w:type="dxa"/>
          <w:bottom w:w="0" w:type="dxa"/>
          <w:right w:w="0" w:type="dxa"/>
        </w:tblCellMar>
      </w:tblPr>
      <w:tr>
        <w:trPr>
          <w:trHeight w:val="312"/>
        </w:trPr>
        <w:tc>
          <w:tcPr>
            <w:tcW w:w="4360" w:type="dxa"/>
            <w:vAlign w:val="bottom"/>
            <w:shd w:val="clear" w:color="auto" w:fill="42B6E9"/>
          </w:tcPr>
          <w:p>
            <w:pPr>
              <w:spacing w:after="0"/>
              <w:rPr>
                <w:sz w:val="24"/>
                <w:szCs w:val="24"/>
                <w:color w:val="auto"/>
              </w:rPr>
            </w:pPr>
          </w:p>
        </w:tc>
        <w:tc>
          <w:tcPr>
            <w:tcW w:w="2700" w:type="dxa"/>
            <w:vAlign w:val="bottom"/>
            <w:shd w:val="clear" w:color="auto" w:fill="42B6E9"/>
          </w:tcPr>
          <w:p>
            <w:pPr>
              <w:spacing w:after="0"/>
              <w:rPr>
                <w:sz w:val="24"/>
                <w:szCs w:val="24"/>
                <w:color w:val="auto"/>
              </w:rPr>
            </w:pPr>
          </w:p>
        </w:tc>
        <w:tc>
          <w:tcPr>
            <w:tcW w:w="2500" w:type="dxa"/>
            <w:vAlign w:val="bottom"/>
            <w:shd w:val="clear" w:color="auto" w:fill="42B6E9"/>
          </w:tcPr>
          <w:p>
            <w:pPr>
              <w:jc w:val="right"/>
              <w:ind w:right="1403"/>
              <w:spacing w:after="0"/>
              <w:rPr>
                <w:sz w:val="20"/>
                <w:szCs w:val="20"/>
                <w:color w:val="auto"/>
              </w:rPr>
            </w:pPr>
            <w:r>
              <w:rPr>
                <w:rFonts w:ascii="Arial" w:cs="Arial" w:eastAsia="Arial" w:hAnsi="Arial"/>
                <w:sz w:val="14"/>
                <w:szCs w:val="14"/>
                <w:b w:val="1"/>
                <w:bCs w:val="1"/>
                <w:color w:val="FFFFFF"/>
              </w:rPr>
              <w:t>Stock Awards</w:t>
            </w:r>
          </w:p>
        </w:tc>
      </w:tr>
      <w:tr>
        <w:trPr>
          <w:trHeight w:val="323"/>
        </w:trPr>
        <w:tc>
          <w:tcPr>
            <w:tcW w:w="4360" w:type="dxa"/>
            <w:vAlign w:val="bottom"/>
            <w:shd w:val="clear" w:color="auto" w:fill="42B6E9"/>
          </w:tcPr>
          <w:p>
            <w:pPr>
              <w:spacing w:after="0"/>
              <w:rPr>
                <w:sz w:val="24"/>
                <w:szCs w:val="24"/>
                <w:color w:val="auto"/>
              </w:rPr>
            </w:pPr>
          </w:p>
        </w:tc>
        <w:tc>
          <w:tcPr>
            <w:tcW w:w="2700" w:type="dxa"/>
            <w:vAlign w:val="bottom"/>
            <w:shd w:val="clear" w:color="auto" w:fill="42B6E9"/>
          </w:tcPr>
          <w:p>
            <w:pPr>
              <w:jc w:val="center"/>
              <w:ind w:left="1263"/>
              <w:spacing w:after="0"/>
              <w:rPr>
                <w:sz w:val="20"/>
                <w:szCs w:val="20"/>
                <w:color w:val="auto"/>
              </w:rPr>
            </w:pPr>
            <w:r>
              <w:rPr>
                <w:rFonts w:ascii="Arial" w:cs="Arial" w:eastAsia="Arial" w:hAnsi="Arial"/>
                <w:sz w:val="14"/>
                <w:szCs w:val="14"/>
                <w:b w:val="1"/>
                <w:bCs w:val="1"/>
                <w:color w:val="FFFFFF"/>
              </w:rPr>
              <w:t>Number of Shares</w:t>
            </w:r>
          </w:p>
        </w:tc>
        <w:tc>
          <w:tcPr>
            <w:tcW w:w="2500" w:type="dxa"/>
            <w:vAlign w:val="bottom"/>
            <w:shd w:val="clear" w:color="auto" w:fill="42B6E9"/>
          </w:tcPr>
          <w:p>
            <w:pPr>
              <w:spacing w:after="0"/>
              <w:rPr>
                <w:sz w:val="24"/>
                <w:szCs w:val="24"/>
                <w:color w:val="auto"/>
              </w:rPr>
            </w:pPr>
          </w:p>
        </w:tc>
      </w:tr>
      <w:tr>
        <w:trPr>
          <w:trHeight w:val="162"/>
        </w:trPr>
        <w:tc>
          <w:tcPr>
            <w:tcW w:w="4360" w:type="dxa"/>
            <w:vAlign w:val="bottom"/>
            <w:shd w:val="clear" w:color="auto" w:fill="42B6E9"/>
          </w:tcPr>
          <w:p>
            <w:pPr>
              <w:spacing w:after="0"/>
              <w:rPr>
                <w:sz w:val="14"/>
                <w:szCs w:val="14"/>
                <w:color w:val="auto"/>
              </w:rPr>
            </w:pPr>
          </w:p>
        </w:tc>
        <w:tc>
          <w:tcPr>
            <w:tcW w:w="2700" w:type="dxa"/>
            <w:vAlign w:val="bottom"/>
            <w:shd w:val="clear" w:color="auto" w:fill="42B6E9"/>
          </w:tcPr>
          <w:p>
            <w:pPr>
              <w:jc w:val="center"/>
              <w:ind w:left="1223"/>
              <w:spacing w:after="0"/>
              <w:rPr>
                <w:sz w:val="20"/>
                <w:szCs w:val="20"/>
                <w:color w:val="auto"/>
              </w:rPr>
            </w:pPr>
            <w:r>
              <w:rPr>
                <w:rFonts w:ascii="Arial" w:cs="Arial" w:eastAsia="Arial" w:hAnsi="Arial"/>
                <w:sz w:val="14"/>
                <w:szCs w:val="14"/>
                <w:b w:val="1"/>
                <w:bCs w:val="1"/>
                <w:color w:val="FFFFFF"/>
              </w:rPr>
              <w:t>Acquired on</w:t>
            </w:r>
          </w:p>
        </w:tc>
        <w:tc>
          <w:tcPr>
            <w:tcW w:w="2500" w:type="dxa"/>
            <w:vAlign w:val="bottom"/>
            <w:shd w:val="clear" w:color="auto" w:fill="42B6E9"/>
          </w:tcPr>
          <w:p>
            <w:pPr>
              <w:jc w:val="center"/>
              <w:ind w:left="1183"/>
              <w:spacing w:after="0"/>
              <w:rPr>
                <w:sz w:val="20"/>
                <w:szCs w:val="20"/>
                <w:color w:val="auto"/>
              </w:rPr>
            </w:pPr>
            <w:r>
              <w:rPr>
                <w:rFonts w:ascii="Arial" w:cs="Arial" w:eastAsia="Arial" w:hAnsi="Arial"/>
                <w:sz w:val="14"/>
                <w:szCs w:val="14"/>
                <w:b w:val="1"/>
                <w:bCs w:val="1"/>
                <w:color w:val="FFFFFF"/>
              </w:rPr>
              <w:t>Value Realized</w:t>
            </w:r>
          </w:p>
        </w:tc>
      </w:tr>
      <w:tr>
        <w:trPr>
          <w:trHeight w:val="148"/>
        </w:trPr>
        <w:tc>
          <w:tcPr>
            <w:tcW w:w="4360" w:type="dxa"/>
            <w:vAlign w:val="bottom"/>
            <w:shd w:val="clear" w:color="auto" w:fill="42B6E9"/>
          </w:tcPr>
          <w:p>
            <w:pPr>
              <w:spacing w:after="0"/>
              <w:rPr>
                <w:sz w:val="12"/>
                <w:szCs w:val="12"/>
                <w:color w:val="auto"/>
              </w:rPr>
            </w:pPr>
          </w:p>
        </w:tc>
        <w:tc>
          <w:tcPr>
            <w:tcW w:w="2700" w:type="dxa"/>
            <w:vAlign w:val="bottom"/>
            <w:shd w:val="clear" w:color="auto" w:fill="42B6E9"/>
          </w:tcPr>
          <w:p>
            <w:pPr>
              <w:jc w:val="center"/>
              <w:ind w:left="1223"/>
              <w:spacing w:after="0" w:line="148" w:lineRule="exact"/>
              <w:rPr>
                <w:sz w:val="20"/>
                <w:szCs w:val="20"/>
                <w:color w:val="auto"/>
              </w:rPr>
            </w:pPr>
            <w:r>
              <w:rPr>
                <w:rFonts w:ascii="Arial" w:cs="Arial" w:eastAsia="Arial" w:hAnsi="Arial"/>
                <w:sz w:val="14"/>
                <w:szCs w:val="14"/>
                <w:b w:val="1"/>
                <w:bCs w:val="1"/>
                <w:color w:val="FFFFFF"/>
              </w:rPr>
              <w:t>Vesting</w:t>
            </w:r>
          </w:p>
        </w:tc>
        <w:tc>
          <w:tcPr>
            <w:tcW w:w="2500" w:type="dxa"/>
            <w:vAlign w:val="bottom"/>
            <w:shd w:val="clear" w:color="auto" w:fill="42B6E9"/>
          </w:tcPr>
          <w:p>
            <w:pPr>
              <w:jc w:val="center"/>
              <w:ind w:left="1143"/>
              <w:spacing w:after="0" w:line="148" w:lineRule="exact"/>
              <w:rPr>
                <w:sz w:val="20"/>
                <w:szCs w:val="20"/>
                <w:color w:val="auto"/>
              </w:rPr>
            </w:pPr>
            <w:r>
              <w:rPr>
                <w:rFonts w:ascii="Arial" w:cs="Arial" w:eastAsia="Arial" w:hAnsi="Arial"/>
                <w:sz w:val="14"/>
                <w:szCs w:val="14"/>
                <w:b w:val="1"/>
                <w:bCs w:val="1"/>
                <w:color w:val="FFFFFF"/>
              </w:rPr>
              <w:t>on Vesting</w:t>
            </w:r>
          </w:p>
        </w:tc>
      </w:tr>
      <w:tr>
        <w:trPr>
          <w:trHeight w:val="283"/>
        </w:trPr>
        <w:tc>
          <w:tcPr>
            <w:tcW w:w="4360" w:type="dxa"/>
            <w:vAlign w:val="bottom"/>
            <w:shd w:val="clear" w:color="auto" w:fill="42B6E9"/>
          </w:tcPr>
          <w:p>
            <w:pPr>
              <w:ind w:left="60"/>
              <w:spacing w:after="0"/>
              <w:rPr>
                <w:sz w:val="20"/>
                <w:szCs w:val="20"/>
                <w:color w:val="auto"/>
              </w:rPr>
            </w:pPr>
            <w:r>
              <w:rPr>
                <w:rFonts w:ascii="Arial" w:cs="Arial" w:eastAsia="Arial" w:hAnsi="Arial"/>
                <w:sz w:val="14"/>
                <w:szCs w:val="14"/>
                <w:b w:val="1"/>
                <w:bCs w:val="1"/>
                <w:color w:val="FFFFFF"/>
              </w:rPr>
              <w:t>Name</w:t>
            </w:r>
          </w:p>
        </w:tc>
        <w:tc>
          <w:tcPr>
            <w:tcW w:w="2700" w:type="dxa"/>
            <w:vAlign w:val="bottom"/>
            <w:shd w:val="clear" w:color="auto" w:fill="42B6E9"/>
          </w:tcPr>
          <w:p>
            <w:pPr>
              <w:jc w:val="center"/>
              <w:ind w:left="1283"/>
              <w:spacing w:after="0"/>
              <w:rPr>
                <w:sz w:val="20"/>
                <w:szCs w:val="20"/>
                <w:color w:val="auto"/>
              </w:rPr>
            </w:pPr>
            <w:r>
              <w:rPr>
                <w:rFonts w:ascii="Arial" w:cs="Arial" w:eastAsia="Arial" w:hAnsi="Arial"/>
                <w:sz w:val="14"/>
                <w:szCs w:val="14"/>
                <w:b w:val="1"/>
                <w:bCs w:val="1"/>
                <w:color w:val="FFFFFF"/>
              </w:rPr>
              <w:t>(#)</w:t>
            </w:r>
          </w:p>
        </w:tc>
        <w:tc>
          <w:tcPr>
            <w:tcW w:w="2500" w:type="dxa"/>
            <w:vAlign w:val="bottom"/>
            <w:shd w:val="clear" w:color="auto" w:fill="42B6E9"/>
          </w:tcPr>
          <w:p>
            <w:pPr>
              <w:jc w:val="center"/>
              <w:ind w:left="1183"/>
              <w:spacing w:after="0"/>
              <w:rPr>
                <w:sz w:val="20"/>
                <w:szCs w:val="20"/>
                <w:color w:val="auto"/>
              </w:rPr>
            </w:pPr>
            <w:r>
              <w:rPr>
                <w:rFonts w:ascii="Arial" w:cs="Arial" w:eastAsia="Arial" w:hAnsi="Arial"/>
                <w:sz w:val="14"/>
                <w:szCs w:val="14"/>
                <w:b w:val="1"/>
                <w:bCs w:val="1"/>
                <w:color w:val="FFFFFF"/>
                <w:w w:val="89"/>
              </w:rPr>
              <w:t>($)</w:t>
            </w:r>
            <w:r>
              <w:rPr>
                <w:rFonts w:ascii="Arial" w:cs="Arial" w:eastAsia="Arial" w:hAnsi="Arial"/>
                <w:sz w:val="23"/>
                <w:szCs w:val="23"/>
                <w:b w:val="1"/>
                <w:bCs w:val="1"/>
                <w:color w:val="FFFFFF"/>
                <w:w w:val="89"/>
                <w:vertAlign w:val="superscript"/>
              </w:rPr>
              <w:t>(1)</w:t>
            </w:r>
          </w:p>
        </w:tc>
      </w:tr>
      <w:tr>
        <w:trPr>
          <w:trHeight w:val="291"/>
        </w:trPr>
        <w:tc>
          <w:tcPr>
            <w:tcW w:w="436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Piotr Szulczewski</w:t>
            </w:r>
          </w:p>
        </w:tc>
        <w:tc>
          <w:tcPr>
            <w:tcW w:w="27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9,569,411</w:t>
            </w:r>
          </w:p>
        </w:tc>
        <w:tc>
          <w:tcPr>
            <w:tcW w:w="2500" w:type="dxa"/>
            <w:vAlign w:val="bottom"/>
            <w:shd w:val="clear" w:color="auto" w:fill="E9F8FD"/>
          </w:tcPr>
          <w:p>
            <w:pPr>
              <w:jc w:val="right"/>
              <w:ind w:right="63"/>
              <w:spacing w:after="0"/>
              <w:rPr>
                <w:sz w:val="20"/>
                <w:szCs w:val="20"/>
                <w:color w:val="auto"/>
              </w:rPr>
            </w:pPr>
            <w:r>
              <w:rPr>
                <w:rFonts w:ascii="Arial" w:cs="Arial" w:eastAsia="Arial" w:hAnsi="Arial"/>
                <w:sz w:val="16"/>
                <w:szCs w:val="16"/>
                <w:color w:val="42B6E9"/>
              </w:rPr>
              <w:t>229,665,864</w:t>
            </w:r>
          </w:p>
        </w:tc>
      </w:tr>
      <w:tr>
        <w:trPr>
          <w:trHeight w:val="378"/>
        </w:trPr>
        <w:tc>
          <w:tcPr>
            <w:tcW w:w="436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Rajat Bahri</w:t>
            </w:r>
          </w:p>
        </w:tc>
        <w:tc>
          <w:tcPr>
            <w:tcW w:w="27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2,580,629</w:t>
            </w:r>
          </w:p>
        </w:tc>
        <w:tc>
          <w:tcPr>
            <w:tcW w:w="2500" w:type="dxa"/>
            <w:vAlign w:val="bottom"/>
            <w:shd w:val="clear" w:color="auto" w:fill="E9F8FD"/>
          </w:tcPr>
          <w:p>
            <w:pPr>
              <w:jc w:val="right"/>
              <w:ind w:right="63"/>
              <w:spacing w:after="0"/>
              <w:rPr>
                <w:sz w:val="20"/>
                <w:szCs w:val="20"/>
                <w:color w:val="auto"/>
              </w:rPr>
            </w:pPr>
            <w:r>
              <w:rPr>
                <w:rFonts w:ascii="Arial" w:cs="Arial" w:eastAsia="Arial" w:hAnsi="Arial"/>
                <w:sz w:val="16"/>
                <w:szCs w:val="16"/>
                <w:color w:val="42B6E9"/>
              </w:rPr>
              <w:t>61,935,096</w:t>
            </w:r>
          </w:p>
        </w:tc>
      </w:tr>
      <w:tr>
        <w:trPr>
          <w:trHeight w:val="378"/>
        </w:trPr>
        <w:tc>
          <w:tcPr>
            <w:tcW w:w="436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Devang Shah</w:t>
            </w:r>
          </w:p>
        </w:tc>
        <w:tc>
          <w:tcPr>
            <w:tcW w:w="27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395,584</w:t>
            </w:r>
          </w:p>
        </w:tc>
        <w:tc>
          <w:tcPr>
            <w:tcW w:w="2500" w:type="dxa"/>
            <w:vAlign w:val="bottom"/>
            <w:shd w:val="clear" w:color="auto" w:fill="E9F8FD"/>
          </w:tcPr>
          <w:p>
            <w:pPr>
              <w:jc w:val="right"/>
              <w:ind w:right="63"/>
              <w:spacing w:after="0"/>
              <w:rPr>
                <w:sz w:val="20"/>
                <w:szCs w:val="20"/>
                <w:color w:val="auto"/>
              </w:rPr>
            </w:pPr>
            <w:r>
              <w:rPr>
                <w:rFonts w:ascii="Arial" w:cs="Arial" w:eastAsia="Arial" w:hAnsi="Arial"/>
                <w:sz w:val="16"/>
                <w:szCs w:val="16"/>
                <w:color w:val="42B6E9"/>
              </w:rPr>
              <w:t>9,494,016</w:t>
            </w:r>
          </w:p>
        </w:tc>
      </w:tr>
      <w:tr>
        <w:trPr>
          <w:trHeight w:val="378"/>
        </w:trPr>
        <w:tc>
          <w:tcPr>
            <w:tcW w:w="436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Thomas Chuang</w:t>
            </w:r>
          </w:p>
        </w:tc>
        <w:tc>
          <w:tcPr>
            <w:tcW w:w="27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129,829</w:t>
            </w:r>
          </w:p>
        </w:tc>
        <w:tc>
          <w:tcPr>
            <w:tcW w:w="2500" w:type="dxa"/>
            <w:vAlign w:val="bottom"/>
            <w:shd w:val="clear" w:color="auto" w:fill="E9F8FD"/>
          </w:tcPr>
          <w:p>
            <w:pPr>
              <w:jc w:val="right"/>
              <w:ind w:right="63"/>
              <w:spacing w:after="0"/>
              <w:rPr>
                <w:sz w:val="20"/>
                <w:szCs w:val="20"/>
                <w:color w:val="auto"/>
              </w:rPr>
            </w:pPr>
            <w:r>
              <w:rPr>
                <w:rFonts w:ascii="Arial" w:cs="Arial" w:eastAsia="Arial" w:hAnsi="Arial"/>
                <w:sz w:val="16"/>
                <w:szCs w:val="16"/>
                <w:color w:val="42B6E9"/>
              </w:rPr>
              <w:t>3,115,896</w:t>
            </w:r>
          </w:p>
        </w:tc>
      </w:tr>
      <w:tr>
        <w:trPr>
          <w:trHeight w:val="378"/>
        </w:trPr>
        <w:tc>
          <w:tcPr>
            <w:tcW w:w="436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Pai Liu</w:t>
            </w:r>
          </w:p>
        </w:tc>
        <w:tc>
          <w:tcPr>
            <w:tcW w:w="2700" w:type="dxa"/>
            <w:vAlign w:val="bottom"/>
            <w:shd w:val="clear" w:color="auto" w:fill="E9F8FD"/>
          </w:tcPr>
          <w:p>
            <w:pPr>
              <w:jc w:val="right"/>
              <w:spacing w:after="0"/>
              <w:rPr>
                <w:sz w:val="20"/>
                <w:szCs w:val="20"/>
                <w:color w:val="auto"/>
              </w:rPr>
            </w:pPr>
            <w:r>
              <w:rPr>
                <w:rFonts w:ascii="Arial" w:cs="Arial" w:eastAsia="Arial" w:hAnsi="Arial"/>
                <w:sz w:val="16"/>
                <w:szCs w:val="16"/>
                <w:color w:val="42B6E9"/>
              </w:rPr>
              <w:t>44,221</w:t>
            </w:r>
          </w:p>
        </w:tc>
        <w:tc>
          <w:tcPr>
            <w:tcW w:w="2500" w:type="dxa"/>
            <w:vAlign w:val="bottom"/>
            <w:shd w:val="clear" w:color="auto" w:fill="E9F8FD"/>
          </w:tcPr>
          <w:p>
            <w:pPr>
              <w:jc w:val="right"/>
              <w:ind w:right="63"/>
              <w:spacing w:after="0"/>
              <w:rPr>
                <w:sz w:val="20"/>
                <w:szCs w:val="20"/>
                <w:color w:val="auto"/>
              </w:rPr>
            </w:pPr>
            <w:r>
              <w:rPr>
                <w:rFonts w:ascii="Arial" w:cs="Arial" w:eastAsia="Arial" w:hAnsi="Arial"/>
                <w:sz w:val="16"/>
                <w:szCs w:val="16"/>
                <w:color w:val="42B6E9"/>
              </w:rPr>
              <w:t>1,061,304</w:t>
            </w:r>
          </w:p>
        </w:tc>
      </w:tr>
      <w:tr>
        <w:trPr>
          <w:trHeight w:val="60"/>
        </w:trPr>
        <w:tc>
          <w:tcPr>
            <w:tcW w:w="4360" w:type="dxa"/>
            <w:vAlign w:val="bottom"/>
            <w:shd w:val="clear" w:color="auto" w:fill="E9F8FD"/>
          </w:tcPr>
          <w:p>
            <w:pPr>
              <w:spacing w:after="0"/>
              <w:rPr>
                <w:sz w:val="5"/>
                <w:szCs w:val="5"/>
                <w:color w:val="auto"/>
              </w:rPr>
            </w:pPr>
          </w:p>
        </w:tc>
        <w:tc>
          <w:tcPr>
            <w:tcW w:w="2700" w:type="dxa"/>
            <w:vAlign w:val="bottom"/>
            <w:shd w:val="clear" w:color="auto" w:fill="E9F8FD"/>
          </w:tcPr>
          <w:p>
            <w:pPr>
              <w:spacing w:after="0"/>
              <w:rPr>
                <w:sz w:val="5"/>
                <w:szCs w:val="5"/>
                <w:color w:val="auto"/>
              </w:rPr>
            </w:pPr>
          </w:p>
        </w:tc>
        <w:tc>
          <w:tcPr>
            <w:tcW w:w="2500" w:type="dxa"/>
            <w:vAlign w:val="bottom"/>
            <w:shd w:val="clear" w:color="auto" w:fill="E9F8FD"/>
          </w:tcPr>
          <w:p>
            <w:pPr>
              <w:spacing w:after="0"/>
              <w:rPr>
                <w:sz w:val="5"/>
                <w:szCs w:val="5"/>
                <w:color w:val="auto"/>
              </w:rPr>
            </w:pPr>
          </w:p>
        </w:tc>
      </w:tr>
    </w:tbl>
    <w:p>
      <w:pPr>
        <w:spacing w:after="0" w:line="99" w:lineRule="exact"/>
        <w:rPr>
          <w:sz w:val="20"/>
          <w:szCs w:val="20"/>
          <w:color w:val="auto"/>
        </w:rPr>
      </w:pPr>
    </w:p>
    <w:p>
      <w:pPr>
        <w:ind w:left="960" w:right="780" w:hanging="244"/>
        <w:spacing w:after="0" w:line="214" w:lineRule="auto"/>
        <w:tabs>
          <w:tab w:leader="none" w:pos="96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Represents the closing price of a share of our common stock on the date of vesting multiplied by the number of shares that have vested. For RSUs that vested on our initial public offering, the value represents the number of shares that vested multiplied by the initial public offering price of $24 per share; provided, however, that the actual value received by each named executive officer with respect to the RSUs that vested in 2020 was not determined until the RSUs were settled in February 2021 for a price per share of $27.45.</w:t>
      </w:r>
    </w:p>
    <w:p>
      <w:pPr>
        <w:spacing w:after="0" w:line="320"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42B6E9"/>
        </w:rPr>
        <w:t>Pension Benefits</w:t>
      </w:r>
    </w:p>
    <w:p>
      <w:pPr>
        <w:spacing w:after="0" w:line="10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We do not have any defined benefit pension plans.</w:t>
      </w:r>
    </w:p>
    <w:p>
      <w:pPr>
        <w:spacing w:after="0" w:line="37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42B6E9"/>
        </w:rPr>
        <w:t>Nonqualified Deferred Compensation</w:t>
      </w:r>
    </w:p>
    <w:p>
      <w:pPr>
        <w:spacing w:after="0" w:line="10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We do not offer any nonqualified deferred compensation plans.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060"/>
              <w:spacing w:after="0"/>
              <w:rPr>
                <w:sz w:val="20"/>
                <w:szCs w:val="20"/>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29</w:t>
            </w:r>
          </w:p>
        </w:tc>
      </w:tr>
      <w:tr>
        <w:trPr>
          <w:trHeight w:val="168"/>
        </w:trPr>
        <w:tc>
          <w:tcPr>
            <w:tcW w:w="9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34" w:name="page35"/>
    <w:bookmarkEnd w:id="34"/>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42B6E9"/>
        </w:rPr>
        <w:t>EXECUTIVE COMPENSATION (continued)</w:t>
      </w:r>
    </w:p>
    <w:p>
      <w:pPr>
        <w:spacing w:after="0" w:line="378" w:lineRule="exact"/>
        <w:rPr>
          <w:sz w:val="20"/>
          <w:szCs w:val="20"/>
          <w:color w:val="auto"/>
        </w:rPr>
      </w:pPr>
    </w:p>
    <w:p>
      <w:pPr>
        <w:ind w:left="4"/>
        <w:spacing w:after="0"/>
        <w:rPr>
          <w:sz w:val="20"/>
          <w:szCs w:val="20"/>
          <w:color w:val="auto"/>
        </w:rPr>
      </w:pPr>
      <w:r>
        <w:rPr>
          <w:rFonts w:ascii="Arial" w:cs="Arial" w:eastAsia="Arial" w:hAnsi="Arial"/>
          <w:sz w:val="26"/>
          <w:szCs w:val="26"/>
          <w:color w:val="42B6E9"/>
        </w:rPr>
        <w:t>Potential Payments Upon Termination or Change in Control</w:t>
      </w:r>
    </w:p>
    <w:p>
      <w:pPr>
        <w:spacing w:after="0" w:line="169" w:lineRule="exact"/>
        <w:rPr>
          <w:sz w:val="20"/>
          <w:szCs w:val="20"/>
          <w:color w:val="auto"/>
        </w:rPr>
      </w:pPr>
    </w:p>
    <w:p>
      <w:pPr>
        <w:ind w:left="4" w:right="60"/>
        <w:spacing w:after="0" w:line="250" w:lineRule="auto"/>
        <w:rPr>
          <w:sz w:val="20"/>
          <w:szCs w:val="20"/>
          <w:color w:val="auto"/>
        </w:rPr>
      </w:pPr>
      <w:r>
        <w:rPr>
          <w:rFonts w:ascii="Arial" w:cs="Arial" w:eastAsia="Arial" w:hAnsi="Arial"/>
          <w:sz w:val="16"/>
          <w:szCs w:val="16"/>
          <w:color w:val="auto"/>
        </w:rPr>
        <w:t>We do not have employment agreements with our named executive officers. Pursuant to the terms of his employment offer letter and his RSU agreements, Mr. Bahri is eligible to receive 100% accelerated vesting of his outstanding RSU awards if we are subject to a sale event while he is providing services to us. Pursuant to the terms of his employment offer letter and his RSU agreements, Mr. Shah is eligible to receive 50% accelerated vesting of any then unvested RSUs if we are subject to a sale event while he is providing services to us and he is terminated without cause or resigns for good reason within 12 months following the sale event.</w:t>
      </w:r>
    </w:p>
    <w:p>
      <w:pPr>
        <w:spacing w:after="0" w:line="149" w:lineRule="exact"/>
        <w:rPr>
          <w:sz w:val="20"/>
          <w:szCs w:val="20"/>
          <w:color w:val="auto"/>
        </w:rPr>
      </w:pPr>
    </w:p>
    <w:p>
      <w:pPr>
        <w:ind w:left="4" w:right="60"/>
        <w:spacing w:after="0" w:line="253" w:lineRule="auto"/>
        <w:rPr>
          <w:sz w:val="20"/>
          <w:szCs w:val="20"/>
          <w:color w:val="auto"/>
        </w:rPr>
      </w:pPr>
      <w:r>
        <w:rPr>
          <w:rFonts w:ascii="Arial" w:cs="Arial" w:eastAsia="Arial" w:hAnsi="Arial"/>
          <w:sz w:val="16"/>
          <w:szCs w:val="16"/>
          <w:color w:val="auto"/>
        </w:rPr>
        <w:t>In November 2020, we entered into severance and change in control agreements with each of our named executive officers that became effective upon the completion of our initial public offering. These agreements have a three-year term and, with the exception of Mr. Bahri as it relates to his existing RSU awards, superseded any acceleration provisions in the officers’ offer letters.</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42B6E9"/>
        </w:rPr>
        <w:t xml:space="preserve">Termination Not in Connection with a Change in Control. </w:t>
      </w:r>
      <w:r>
        <w:rPr>
          <w:rFonts w:ascii="Arial" w:cs="Arial" w:eastAsia="Arial" w:hAnsi="Arial"/>
          <w:sz w:val="16"/>
          <w:szCs w:val="16"/>
          <w:color w:val="000000"/>
        </w:rPr>
        <w:t>Pursuant to his severance and change in control agreement, if</w:t>
      </w:r>
    </w:p>
    <w:p>
      <w:pPr>
        <w:spacing w:after="0" w:line="25" w:lineRule="exact"/>
        <w:rPr>
          <w:sz w:val="20"/>
          <w:szCs w:val="20"/>
          <w:color w:val="auto"/>
        </w:rPr>
      </w:pPr>
    </w:p>
    <w:p>
      <w:pPr>
        <w:ind w:left="4" w:right="20"/>
        <w:spacing w:after="0" w:line="248" w:lineRule="auto"/>
        <w:rPr>
          <w:sz w:val="20"/>
          <w:szCs w:val="20"/>
          <w:color w:val="auto"/>
        </w:rPr>
      </w:pPr>
      <w:r>
        <w:rPr>
          <w:rFonts w:ascii="Arial" w:cs="Arial" w:eastAsia="Arial" w:hAnsi="Arial"/>
          <w:sz w:val="16"/>
          <w:szCs w:val="16"/>
          <w:color w:val="auto"/>
        </w:rPr>
        <w:t>Mr. Szulczewski’s employment is terminated by us without cause or he resigns for good reason, he is eligible to receive a lump sum cash payment equal to 12 months of his base salary and an additional lump sum cash payment equal to 12 months of his benefit premiums. If the employment of Mr. Bahri or Mr. Shah is terminated by us without cause or such officer resigns for good reason, such officer is eligible to receive a lump sum cash payment equal to six months of his base salary, an additional lump sum cash payment equal to six months of his benefit premiums, and 12 months accelerated vesting of his time-based equity awards. If the employment of one of our other named executive officers is terminated by us without cause, the officer will be eligible to receive a lump sum cash payment equal to six months of his base salary and an additional lump sum cash payment equal to six months of his benefit premiums.</w:t>
      </w:r>
    </w:p>
    <w:p>
      <w:pPr>
        <w:spacing w:after="0" w:line="13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42B6E9"/>
        </w:rPr>
        <w:t xml:space="preserve">Termination in Connection with a Change in Control. </w:t>
      </w:r>
      <w:r>
        <w:rPr>
          <w:rFonts w:ascii="Arial" w:cs="Arial" w:eastAsia="Arial" w:hAnsi="Arial"/>
          <w:sz w:val="16"/>
          <w:szCs w:val="16"/>
          <w:color w:val="000000"/>
        </w:rPr>
        <w:t>Pursuant to his severance and change in control agreement, if</w:t>
      </w:r>
    </w:p>
    <w:p>
      <w:pPr>
        <w:spacing w:after="0" w:line="25" w:lineRule="exact"/>
        <w:rPr>
          <w:sz w:val="20"/>
          <w:szCs w:val="20"/>
          <w:color w:val="auto"/>
        </w:rPr>
      </w:pPr>
    </w:p>
    <w:p>
      <w:pPr>
        <w:ind w:left="4" w:right="100"/>
        <w:spacing w:after="0" w:line="248" w:lineRule="auto"/>
        <w:rPr>
          <w:sz w:val="20"/>
          <w:szCs w:val="20"/>
          <w:color w:val="auto"/>
        </w:rPr>
      </w:pPr>
      <w:r>
        <w:rPr>
          <w:rFonts w:ascii="Arial" w:cs="Arial" w:eastAsia="Arial" w:hAnsi="Arial"/>
          <w:sz w:val="16"/>
          <w:szCs w:val="16"/>
          <w:color w:val="auto"/>
        </w:rPr>
        <w:t>Mr. Szulczewski’s employment is terminated by us without cause or he resigns for good reason, in either case within three months prior to or 12 months after a change in control, he is eligible to receive a lump sum cash payment equal to 18 months of his base salary, an additional lump sum cash payment equal to 18 months of his benefit premiums, and full acceleration of his time-based equity awards. If the employment of one of our other named executive officers is terminated by us without cause or he resigns for good reason, in either case within three months prior to or 12 months after a change in control, the officer will be eligible to receive a lump sum cash payment equal to 12 months of his base salary, an additional lump sum cash payment equal to 12 months of his benefit premiums, and full acceleration of his time-based equity awards.</w:t>
      </w:r>
    </w:p>
    <w:p>
      <w:pPr>
        <w:spacing w:after="0" w:line="154" w:lineRule="exact"/>
        <w:rPr>
          <w:sz w:val="20"/>
          <w:szCs w:val="20"/>
          <w:color w:val="auto"/>
        </w:rPr>
      </w:pPr>
    </w:p>
    <w:p>
      <w:pPr>
        <w:ind w:left="4"/>
        <w:spacing w:after="0" w:line="260" w:lineRule="auto"/>
        <w:rPr>
          <w:sz w:val="20"/>
          <w:szCs w:val="20"/>
          <w:color w:val="auto"/>
        </w:rPr>
      </w:pPr>
      <w:r>
        <w:rPr>
          <w:rFonts w:ascii="Arial" w:cs="Arial" w:eastAsia="Arial" w:hAnsi="Arial"/>
          <w:sz w:val="16"/>
          <w:szCs w:val="16"/>
          <w:color w:val="auto"/>
        </w:rPr>
        <w:t>For purposes of the severance and change in control agreements, the terms “cause,” “change in control,” and “good reason” have the following meanings:</w:t>
      </w:r>
    </w:p>
    <w:p>
      <w:pPr>
        <w:spacing w:after="0" w:line="141" w:lineRule="exact"/>
        <w:rPr>
          <w:sz w:val="20"/>
          <w:szCs w:val="20"/>
          <w:color w:val="auto"/>
        </w:rPr>
      </w:pPr>
    </w:p>
    <w:p>
      <w:pPr>
        <w:ind w:left="4" w:right="20"/>
        <w:spacing w:after="0" w:line="251" w:lineRule="auto"/>
        <w:rPr>
          <w:sz w:val="20"/>
          <w:szCs w:val="20"/>
          <w:color w:val="auto"/>
        </w:rPr>
      </w:pPr>
      <w:r>
        <w:rPr>
          <w:rFonts w:ascii="Arial" w:cs="Arial" w:eastAsia="Arial" w:hAnsi="Arial"/>
          <w:sz w:val="16"/>
          <w:szCs w:val="16"/>
          <w:color w:val="auto"/>
        </w:rPr>
        <w:t>“Cause” means an officer’s willful and intentional unauthorized use or disclosure of our confidential information or trade secrets which causes material harm, material breach of any agreement with us, material failure to comply with our written policies or rules, conviction of a felony, gross negligence or willful misconduct, continuing failure to perform assigned duties (other than as a result of a disability) or failure to cooperate in good faith with a governmental or internal investigation.</w:t>
      </w:r>
    </w:p>
    <w:p>
      <w:pPr>
        <w:spacing w:after="0" w:line="148" w:lineRule="exact"/>
        <w:rPr>
          <w:sz w:val="20"/>
          <w:szCs w:val="20"/>
          <w:color w:val="auto"/>
        </w:rPr>
      </w:pPr>
    </w:p>
    <w:p>
      <w:pPr>
        <w:ind w:left="4" w:right="360"/>
        <w:spacing w:after="0" w:line="260" w:lineRule="auto"/>
        <w:rPr>
          <w:sz w:val="20"/>
          <w:szCs w:val="20"/>
          <w:color w:val="auto"/>
        </w:rPr>
      </w:pPr>
      <w:r>
        <w:rPr>
          <w:rFonts w:ascii="Arial" w:cs="Arial" w:eastAsia="Arial" w:hAnsi="Arial"/>
          <w:sz w:val="16"/>
          <w:szCs w:val="16"/>
          <w:color w:val="auto"/>
        </w:rPr>
        <w:t>“Good Reason” means a material diminution in the nature or scope of the officer’s responsibilities, authority, powers, functions or duties, a material reduction in the officer’s base salary, or a requirement that the officer relocate more than 50 miles.</w:t>
      </w:r>
    </w:p>
    <w:p>
      <w:pPr>
        <w:spacing w:after="0" w:line="141" w:lineRule="exact"/>
        <w:rPr>
          <w:sz w:val="20"/>
          <w:szCs w:val="20"/>
          <w:color w:val="auto"/>
        </w:rPr>
      </w:pPr>
    </w:p>
    <w:p>
      <w:pPr>
        <w:ind w:left="4" w:right="120"/>
        <w:spacing w:after="0" w:line="251" w:lineRule="auto"/>
        <w:rPr>
          <w:sz w:val="20"/>
          <w:szCs w:val="20"/>
          <w:color w:val="auto"/>
        </w:rPr>
      </w:pPr>
      <w:r>
        <w:rPr>
          <w:rFonts w:ascii="Arial" w:cs="Arial" w:eastAsia="Arial" w:hAnsi="Arial"/>
          <w:sz w:val="16"/>
          <w:szCs w:val="16"/>
          <w:color w:val="auto"/>
        </w:rPr>
        <w:t>“Change in Control” means any person (other than Piotr Szulczewski) acquires ownership of more than 50% of our voting stock, a sale of all or substantially all of our assets, consummation of a merger of the Company with or into another entity if our capital stock represents less than 50% of the voting power of the surviving entity or its parent, or certain changes in the composition of our Board of Directors.</w:t>
      </w:r>
    </w:p>
    <w:p>
      <w:pPr>
        <w:spacing w:after="0" w:line="187" w:lineRule="exact"/>
        <w:rPr>
          <w:sz w:val="20"/>
          <w:szCs w:val="20"/>
          <w:color w:val="auto"/>
        </w:rPr>
      </w:pPr>
    </w:p>
    <w:p>
      <w:pPr>
        <w:ind w:left="524" w:hanging="524"/>
        <w:spacing w:after="0"/>
        <w:tabs>
          <w:tab w:leader="none" w:pos="524"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44"/>
          </w:cols>
          <w:pgMar w:left="1156" w:top="265" w:right="1199" w:bottom="1440" w:gutter="0" w:footer="0" w:header="0"/>
        </w:sectPr>
      </w:pPr>
    </w:p>
    <w:bookmarkStart w:id="35" w:name="page36"/>
    <w:bookmarkEnd w:id="35"/>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42B6E9"/>
        </w:rPr>
        <w:t>EXECUTIVE COMPENSATION (continued)</w:t>
      </w:r>
    </w:p>
    <w:p>
      <w:pPr>
        <w:spacing w:after="0" w:line="386" w:lineRule="exact"/>
        <w:rPr>
          <w:sz w:val="20"/>
          <w:szCs w:val="20"/>
          <w:color w:val="auto"/>
        </w:rPr>
      </w:pPr>
    </w:p>
    <w:p>
      <w:pPr>
        <w:ind w:left="720" w:right="780"/>
        <w:spacing w:after="0" w:line="260" w:lineRule="auto"/>
        <w:rPr>
          <w:sz w:val="20"/>
          <w:szCs w:val="20"/>
          <w:color w:val="auto"/>
        </w:rPr>
      </w:pPr>
      <w:r>
        <w:rPr>
          <w:rFonts w:ascii="Arial" w:cs="Arial" w:eastAsia="Arial" w:hAnsi="Arial"/>
          <w:sz w:val="16"/>
          <w:szCs w:val="16"/>
          <w:color w:val="auto"/>
        </w:rPr>
        <w:t>The following table sets forth the amounts payable to each of our current named executive officers based on an assumed termination or change in control of us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28575</wp:posOffset>
            </wp:positionV>
            <wp:extent cx="6077585" cy="55378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77585" cy="5537835"/>
                    </a:xfrm>
                    <a:prstGeom prst="rect">
                      <a:avLst/>
                    </a:prstGeom>
                    <a:noFill/>
                  </pic:spPr>
                </pic:pic>
              </a:graphicData>
            </a:graphic>
          </wp:anchor>
        </w:drawing>
      </w:r>
    </w:p>
    <w:p>
      <w:pPr>
        <w:spacing w:after="0" w:line="25" w:lineRule="exact"/>
        <w:rPr>
          <w:sz w:val="20"/>
          <w:szCs w:val="20"/>
          <w:color w:val="auto"/>
        </w:rPr>
      </w:pPr>
    </w:p>
    <w:tbl>
      <w:tblPr>
        <w:tblLayout w:type="fixed"/>
        <w:tblInd w:w="720" w:type="dxa"/>
        <w:tblCellMar>
          <w:top w:w="0" w:type="dxa"/>
          <w:left w:w="0" w:type="dxa"/>
          <w:bottom w:w="0" w:type="dxa"/>
          <w:right w:w="0" w:type="dxa"/>
        </w:tblCellMar>
      </w:tblPr>
      <w:tr>
        <w:trPr>
          <w:trHeight w:val="257"/>
        </w:trPr>
        <w:tc>
          <w:tcPr>
            <w:tcW w:w="3600" w:type="dxa"/>
            <w:vAlign w:val="bottom"/>
            <w:shd w:val="clear" w:color="auto" w:fill="42B6E9"/>
          </w:tcPr>
          <w:p>
            <w:pPr>
              <w:spacing w:after="0"/>
              <w:rPr>
                <w:sz w:val="22"/>
                <w:szCs w:val="22"/>
                <w:color w:val="auto"/>
              </w:rPr>
            </w:pPr>
          </w:p>
        </w:tc>
        <w:tc>
          <w:tcPr>
            <w:tcW w:w="1600" w:type="dxa"/>
            <w:vAlign w:val="bottom"/>
            <w:shd w:val="clear" w:color="auto" w:fill="42B6E9"/>
          </w:tcPr>
          <w:p>
            <w:pPr>
              <w:spacing w:after="0"/>
              <w:rPr>
                <w:sz w:val="22"/>
                <w:szCs w:val="22"/>
                <w:color w:val="auto"/>
              </w:rPr>
            </w:pPr>
          </w:p>
        </w:tc>
        <w:tc>
          <w:tcPr>
            <w:tcW w:w="1340" w:type="dxa"/>
            <w:vAlign w:val="bottom"/>
            <w:shd w:val="clear" w:color="auto" w:fill="42B6E9"/>
          </w:tcPr>
          <w:p>
            <w:pPr>
              <w:spacing w:after="0"/>
              <w:rPr>
                <w:sz w:val="22"/>
                <w:szCs w:val="22"/>
                <w:color w:val="auto"/>
              </w:rPr>
            </w:pPr>
          </w:p>
        </w:tc>
        <w:tc>
          <w:tcPr>
            <w:tcW w:w="1740" w:type="dxa"/>
            <w:vAlign w:val="bottom"/>
            <w:shd w:val="clear" w:color="auto" w:fill="42B6E9"/>
          </w:tcPr>
          <w:p>
            <w:pPr>
              <w:jc w:val="center"/>
              <w:ind w:right="2"/>
              <w:spacing w:after="0"/>
              <w:rPr>
                <w:sz w:val="20"/>
                <w:szCs w:val="20"/>
                <w:color w:val="auto"/>
              </w:rPr>
            </w:pPr>
            <w:r>
              <w:rPr>
                <w:rFonts w:ascii="Arial" w:cs="Arial" w:eastAsia="Arial" w:hAnsi="Arial"/>
                <w:sz w:val="14"/>
                <w:szCs w:val="14"/>
                <w:b w:val="1"/>
                <w:bCs w:val="1"/>
                <w:color w:val="FFFFFF"/>
              </w:rPr>
              <w:t>Restricted</w:t>
            </w:r>
          </w:p>
        </w:tc>
        <w:tc>
          <w:tcPr>
            <w:tcW w:w="1280" w:type="dxa"/>
            <w:vAlign w:val="bottom"/>
            <w:shd w:val="clear" w:color="auto" w:fill="42B6E9"/>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42B6E9"/>
          </w:tcPr>
          <w:p>
            <w:pPr>
              <w:spacing w:after="0"/>
              <w:rPr>
                <w:sz w:val="14"/>
                <w:szCs w:val="14"/>
                <w:color w:val="auto"/>
              </w:rPr>
            </w:pPr>
          </w:p>
        </w:tc>
        <w:tc>
          <w:tcPr>
            <w:tcW w:w="1600" w:type="dxa"/>
            <w:vAlign w:val="bottom"/>
            <w:shd w:val="clear" w:color="auto" w:fill="42B6E9"/>
          </w:tcPr>
          <w:p>
            <w:pPr>
              <w:spacing w:after="0"/>
              <w:rPr>
                <w:sz w:val="14"/>
                <w:szCs w:val="14"/>
                <w:color w:val="auto"/>
              </w:rPr>
            </w:pPr>
          </w:p>
        </w:tc>
        <w:tc>
          <w:tcPr>
            <w:tcW w:w="1340" w:type="dxa"/>
            <w:vAlign w:val="bottom"/>
            <w:shd w:val="clear" w:color="auto" w:fill="42B6E9"/>
          </w:tcPr>
          <w:p>
            <w:pPr>
              <w:spacing w:after="0"/>
              <w:rPr>
                <w:sz w:val="14"/>
                <w:szCs w:val="14"/>
                <w:color w:val="auto"/>
              </w:rPr>
            </w:pPr>
          </w:p>
        </w:tc>
        <w:tc>
          <w:tcPr>
            <w:tcW w:w="1740" w:type="dxa"/>
            <w:vAlign w:val="bottom"/>
            <w:shd w:val="clear" w:color="auto" w:fill="42B6E9"/>
          </w:tcPr>
          <w:p>
            <w:pPr>
              <w:jc w:val="center"/>
              <w:ind w:right="2"/>
              <w:spacing w:after="0"/>
              <w:rPr>
                <w:sz w:val="20"/>
                <w:szCs w:val="20"/>
                <w:color w:val="auto"/>
              </w:rPr>
            </w:pPr>
            <w:r>
              <w:rPr>
                <w:rFonts w:ascii="Arial" w:cs="Arial" w:eastAsia="Arial" w:hAnsi="Arial"/>
                <w:sz w:val="14"/>
                <w:szCs w:val="14"/>
                <w:b w:val="1"/>
                <w:bCs w:val="1"/>
                <w:color w:val="FFFFFF"/>
              </w:rPr>
              <w:t>Stock Units</w:t>
            </w:r>
          </w:p>
        </w:tc>
        <w:tc>
          <w:tcPr>
            <w:tcW w:w="1280" w:type="dxa"/>
            <w:vAlign w:val="bottom"/>
            <w:shd w:val="clear" w:color="auto" w:fill="42B6E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42B6E9"/>
          </w:tcPr>
          <w:p>
            <w:pPr>
              <w:spacing w:after="0"/>
              <w:rPr>
                <w:sz w:val="14"/>
                <w:szCs w:val="14"/>
                <w:color w:val="auto"/>
              </w:rPr>
            </w:pPr>
          </w:p>
        </w:tc>
        <w:tc>
          <w:tcPr>
            <w:tcW w:w="1600" w:type="dxa"/>
            <w:vAlign w:val="bottom"/>
            <w:shd w:val="clear" w:color="auto" w:fill="42B6E9"/>
          </w:tcPr>
          <w:p>
            <w:pPr>
              <w:spacing w:after="0"/>
              <w:rPr>
                <w:sz w:val="14"/>
                <w:szCs w:val="14"/>
                <w:color w:val="auto"/>
              </w:rPr>
            </w:pPr>
          </w:p>
        </w:tc>
        <w:tc>
          <w:tcPr>
            <w:tcW w:w="1340" w:type="dxa"/>
            <w:vAlign w:val="bottom"/>
            <w:shd w:val="clear" w:color="auto" w:fill="42B6E9"/>
          </w:tcPr>
          <w:p>
            <w:pPr>
              <w:spacing w:after="0"/>
              <w:rPr>
                <w:sz w:val="14"/>
                <w:szCs w:val="14"/>
                <w:color w:val="auto"/>
              </w:rPr>
            </w:pPr>
          </w:p>
        </w:tc>
        <w:tc>
          <w:tcPr>
            <w:tcW w:w="1740" w:type="dxa"/>
            <w:vAlign w:val="bottom"/>
            <w:shd w:val="clear" w:color="auto" w:fill="42B6E9"/>
          </w:tcPr>
          <w:p>
            <w:pPr>
              <w:jc w:val="center"/>
              <w:ind w:right="2"/>
              <w:spacing w:after="0"/>
              <w:rPr>
                <w:sz w:val="20"/>
                <w:szCs w:val="20"/>
                <w:color w:val="auto"/>
              </w:rPr>
            </w:pPr>
            <w:r>
              <w:rPr>
                <w:rFonts w:ascii="Arial" w:cs="Arial" w:eastAsia="Arial" w:hAnsi="Arial"/>
                <w:sz w:val="14"/>
                <w:szCs w:val="14"/>
                <w:b w:val="1"/>
                <w:bCs w:val="1"/>
                <w:color w:val="FFFFFF"/>
              </w:rPr>
              <w:t>(Unvested</w:t>
            </w:r>
          </w:p>
        </w:tc>
        <w:tc>
          <w:tcPr>
            <w:tcW w:w="1280" w:type="dxa"/>
            <w:vAlign w:val="bottom"/>
            <w:shd w:val="clear" w:color="auto" w:fill="42B6E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42B6E9"/>
          </w:tcPr>
          <w:p>
            <w:pPr>
              <w:spacing w:after="0"/>
              <w:rPr>
                <w:sz w:val="14"/>
                <w:szCs w:val="14"/>
                <w:color w:val="auto"/>
              </w:rPr>
            </w:pPr>
          </w:p>
        </w:tc>
        <w:tc>
          <w:tcPr>
            <w:tcW w:w="1600" w:type="dxa"/>
            <w:vAlign w:val="bottom"/>
            <w:shd w:val="clear" w:color="auto" w:fill="42B6E9"/>
          </w:tcPr>
          <w:p>
            <w:pPr>
              <w:jc w:val="right"/>
              <w:ind w:right="481"/>
              <w:spacing w:after="0"/>
              <w:rPr>
                <w:sz w:val="20"/>
                <w:szCs w:val="20"/>
                <w:color w:val="auto"/>
              </w:rPr>
            </w:pPr>
            <w:r>
              <w:rPr>
                <w:rFonts w:ascii="Arial" w:cs="Arial" w:eastAsia="Arial" w:hAnsi="Arial"/>
                <w:sz w:val="14"/>
                <w:szCs w:val="14"/>
                <w:b w:val="1"/>
                <w:bCs w:val="1"/>
                <w:color w:val="FFFFFF"/>
              </w:rPr>
              <w:t>Cash</w:t>
            </w:r>
          </w:p>
        </w:tc>
        <w:tc>
          <w:tcPr>
            <w:tcW w:w="134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Health</w:t>
            </w:r>
          </w:p>
        </w:tc>
        <w:tc>
          <w:tcPr>
            <w:tcW w:w="1740" w:type="dxa"/>
            <w:vAlign w:val="bottom"/>
            <w:shd w:val="clear" w:color="auto" w:fill="42B6E9"/>
          </w:tcPr>
          <w:p>
            <w:pPr>
              <w:jc w:val="center"/>
              <w:ind w:right="2"/>
              <w:spacing w:after="0"/>
              <w:rPr>
                <w:sz w:val="20"/>
                <w:szCs w:val="20"/>
                <w:color w:val="auto"/>
              </w:rPr>
            </w:pPr>
            <w:r>
              <w:rPr>
                <w:rFonts w:ascii="Arial" w:cs="Arial" w:eastAsia="Arial" w:hAnsi="Arial"/>
                <w:sz w:val="14"/>
                <w:szCs w:val="14"/>
                <w:b w:val="1"/>
                <w:bCs w:val="1"/>
                <w:color w:val="FFFFFF"/>
              </w:rPr>
              <w:t>and</w:t>
            </w:r>
          </w:p>
        </w:tc>
        <w:tc>
          <w:tcPr>
            <w:tcW w:w="1280" w:type="dxa"/>
            <w:vAlign w:val="bottom"/>
            <w:shd w:val="clear" w:color="auto" w:fill="42B6E9"/>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42B6E9"/>
          </w:tcPr>
          <w:p>
            <w:pPr>
              <w:spacing w:after="0"/>
              <w:rPr>
                <w:sz w:val="12"/>
                <w:szCs w:val="12"/>
                <w:color w:val="auto"/>
              </w:rPr>
            </w:pPr>
          </w:p>
        </w:tc>
        <w:tc>
          <w:tcPr>
            <w:tcW w:w="1600" w:type="dxa"/>
            <w:vAlign w:val="bottom"/>
            <w:shd w:val="clear" w:color="auto" w:fill="42B6E9"/>
          </w:tcPr>
          <w:p>
            <w:pPr>
              <w:jc w:val="right"/>
              <w:ind w:right="301"/>
              <w:spacing w:after="0" w:line="148" w:lineRule="exact"/>
              <w:rPr>
                <w:sz w:val="20"/>
                <w:szCs w:val="20"/>
                <w:color w:val="auto"/>
              </w:rPr>
            </w:pPr>
            <w:r>
              <w:rPr>
                <w:rFonts w:ascii="Arial" w:cs="Arial" w:eastAsia="Arial" w:hAnsi="Arial"/>
                <w:sz w:val="14"/>
                <w:szCs w:val="14"/>
                <w:b w:val="1"/>
                <w:bCs w:val="1"/>
                <w:color w:val="FFFFFF"/>
              </w:rPr>
              <w:t>Severance</w:t>
            </w:r>
          </w:p>
        </w:tc>
        <w:tc>
          <w:tcPr>
            <w:tcW w:w="1340" w:type="dxa"/>
            <w:vAlign w:val="bottom"/>
            <w:shd w:val="clear" w:color="auto" w:fill="42B6E9"/>
          </w:tcPr>
          <w:p>
            <w:pPr>
              <w:jc w:val="center"/>
              <w:spacing w:after="0" w:line="148" w:lineRule="exact"/>
              <w:rPr>
                <w:sz w:val="20"/>
                <w:szCs w:val="20"/>
                <w:color w:val="auto"/>
              </w:rPr>
            </w:pPr>
            <w:r>
              <w:rPr>
                <w:rFonts w:ascii="Arial" w:cs="Arial" w:eastAsia="Arial" w:hAnsi="Arial"/>
                <w:sz w:val="14"/>
                <w:szCs w:val="14"/>
                <w:b w:val="1"/>
                <w:bCs w:val="1"/>
                <w:color w:val="FFFFFF"/>
              </w:rPr>
              <w:t>Benefits</w:t>
            </w:r>
          </w:p>
        </w:tc>
        <w:tc>
          <w:tcPr>
            <w:tcW w:w="1740" w:type="dxa"/>
            <w:vAlign w:val="bottom"/>
            <w:shd w:val="clear" w:color="auto" w:fill="42B6E9"/>
          </w:tcPr>
          <w:p>
            <w:pPr>
              <w:jc w:val="center"/>
              <w:ind w:right="2"/>
              <w:spacing w:after="0" w:line="148" w:lineRule="exact"/>
              <w:rPr>
                <w:sz w:val="20"/>
                <w:szCs w:val="20"/>
                <w:color w:val="auto"/>
              </w:rPr>
            </w:pPr>
            <w:r>
              <w:rPr>
                <w:rFonts w:ascii="Arial" w:cs="Arial" w:eastAsia="Arial" w:hAnsi="Arial"/>
                <w:sz w:val="14"/>
                <w:szCs w:val="14"/>
                <w:b w:val="1"/>
                <w:bCs w:val="1"/>
                <w:color w:val="FFFFFF"/>
              </w:rPr>
              <w:t>Accelerated)</w:t>
            </w:r>
          </w:p>
        </w:tc>
        <w:tc>
          <w:tcPr>
            <w:tcW w:w="1280" w:type="dxa"/>
            <w:vAlign w:val="bottom"/>
            <w:shd w:val="clear" w:color="auto" w:fill="42B6E9"/>
          </w:tcPr>
          <w:p>
            <w:pPr>
              <w:jc w:val="center"/>
              <w:ind w:left="181"/>
              <w:spacing w:after="0" w:line="148" w:lineRule="exact"/>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83"/>
        </w:trPr>
        <w:tc>
          <w:tcPr>
            <w:tcW w:w="3600" w:type="dxa"/>
            <w:vAlign w:val="bottom"/>
            <w:shd w:val="clear" w:color="auto" w:fill="42B6E9"/>
          </w:tcPr>
          <w:p>
            <w:pPr>
              <w:ind w:left="60"/>
              <w:spacing w:after="0"/>
              <w:rPr>
                <w:sz w:val="20"/>
                <w:szCs w:val="20"/>
                <w:color w:val="auto"/>
              </w:rPr>
            </w:pPr>
            <w:r>
              <w:rPr>
                <w:rFonts w:ascii="Arial" w:cs="Arial" w:eastAsia="Arial" w:hAnsi="Arial"/>
                <w:sz w:val="14"/>
                <w:szCs w:val="14"/>
                <w:b w:val="1"/>
                <w:bCs w:val="1"/>
                <w:color w:val="FFFFFF"/>
              </w:rPr>
              <w:t>Name</w:t>
            </w:r>
          </w:p>
        </w:tc>
        <w:tc>
          <w:tcPr>
            <w:tcW w:w="1600" w:type="dxa"/>
            <w:vAlign w:val="bottom"/>
            <w:shd w:val="clear" w:color="auto" w:fill="42B6E9"/>
          </w:tcPr>
          <w:p>
            <w:pPr>
              <w:jc w:val="right"/>
              <w:ind w:right="561"/>
              <w:spacing w:after="0"/>
              <w:rPr>
                <w:sz w:val="20"/>
                <w:szCs w:val="20"/>
                <w:color w:val="auto"/>
              </w:rPr>
            </w:pPr>
            <w:r>
              <w:rPr>
                <w:rFonts w:ascii="Arial" w:cs="Arial" w:eastAsia="Arial" w:hAnsi="Arial"/>
                <w:sz w:val="14"/>
                <w:szCs w:val="14"/>
                <w:b w:val="1"/>
                <w:bCs w:val="1"/>
                <w:color w:val="FFFFFF"/>
              </w:rPr>
              <w:t>($)</w:t>
            </w:r>
          </w:p>
        </w:tc>
        <w:tc>
          <w:tcPr>
            <w:tcW w:w="134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w:t>
            </w:r>
          </w:p>
        </w:tc>
        <w:tc>
          <w:tcPr>
            <w:tcW w:w="174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w w:val="94"/>
              </w:rPr>
              <w:t>($)</w:t>
            </w:r>
            <w:r>
              <w:rPr>
                <w:rFonts w:ascii="Arial" w:cs="Arial" w:eastAsia="Arial" w:hAnsi="Arial"/>
                <w:sz w:val="23"/>
                <w:szCs w:val="23"/>
                <w:b w:val="1"/>
                <w:bCs w:val="1"/>
                <w:color w:val="FFFFFF"/>
                <w:w w:val="94"/>
                <w:vertAlign w:val="superscript"/>
              </w:rPr>
              <w:t>(1)</w:t>
            </w:r>
          </w:p>
        </w:tc>
        <w:tc>
          <w:tcPr>
            <w:tcW w:w="1280" w:type="dxa"/>
            <w:vAlign w:val="bottom"/>
            <w:shd w:val="clear" w:color="auto" w:fill="42B6E9"/>
          </w:tcPr>
          <w:p>
            <w:pPr>
              <w:jc w:val="center"/>
              <w:ind w:left="181"/>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91"/>
        </w:trPr>
        <w:tc>
          <w:tcPr>
            <w:tcW w:w="3600" w:type="dxa"/>
            <w:vAlign w:val="bottom"/>
          </w:tcPr>
          <w:p>
            <w:pPr>
              <w:ind w:left="60"/>
              <w:spacing w:after="0"/>
              <w:rPr>
                <w:sz w:val="20"/>
                <w:szCs w:val="20"/>
                <w:color w:val="auto"/>
              </w:rPr>
            </w:pPr>
            <w:r>
              <w:rPr>
                <w:rFonts w:ascii="Arial" w:cs="Arial" w:eastAsia="Arial" w:hAnsi="Arial"/>
                <w:sz w:val="16"/>
                <w:szCs w:val="16"/>
                <w:b w:val="1"/>
                <w:bCs w:val="1"/>
                <w:color w:val="42B6E9"/>
              </w:rPr>
              <w:t>Piotr Szulczewski</w:t>
            </w:r>
          </w:p>
        </w:tc>
        <w:tc>
          <w:tcPr>
            <w:tcW w:w="1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6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360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Termination for reasons other than Cause,</w:t>
            </w:r>
          </w:p>
        </w:tc>
        <w:tc>
          <w:tcPr>
            <w:tcW w:w="1600" w:type="dxa"/>
            <w:vAlign w:val="bottom"/>
            <w:shd w:val="clear" w:color="auto" w:fill="E9F8FD"/>
          </w:tcPr>
          <w:p>
            <w:pPr>
              <w:spacing w:after="0"/>
              <w:rPr>
                <w:sz w:val="24"/>
                <w:szCs w:val="24"/>
                <w:color w:val="auto"/>
              </w:rPr>
            </w:pPr>
          </w:p>
        </w:tc>
        <w:tc>
          <w:tcPr>
            <w:tcW w:w="1340" w:type="dxa"/>
            <w:vAlign w:val="bottom"/>
            <w:shd w:val="clear" w:color="auto" w:fill="E9F8FD"/>
          </w:tcPr>
          <w:p>
            <w:pPr>
              <w:spacing w:after="0"/>
              <w:rPr>
                <w:sz w:val="24"/>
                <w:szCs w:val="24"/>
                <w:color w:val="auto"/>
              </w:rPr>
            </w:pPr>
          </w:p>
        </w:tc>
        <w:tc>
          <w:tcPr>
            <w:tcW w:w="1740" w:type="dxa"/>
            <w:vAlign w:val="bottom"/>
            <w:shd w:val="clear" w:color="auto" w:fill="E9F8FD"/>
          </w:tcPr>
          <w:p>
            <w:pPr>
              <w:spacing w:after="0"/>
              <w:rPr>
                <w:sz w:val="24"/>
                <w:szCs w:val="24"/>
                <w:color w:val="auto"/>
              </w:rPr>
            </w:pPr>
          </w:p>
        </w:tc>
        <w:tc>
          <w:tcPr>
            <w:tcW w:w="1280" w:type="dxa"/>
            <w:vAlign w:val="bottom"/>
            <w:shd w:val="clear" w:color="auto" w:fill="E9F8FD"/>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60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death or Disability, or for Good Reason</w:t>
            </w:r>
          </w:p>
        </w:tc>
        <w:tc>
          <w:tcPr>
            <w:tcW w:w="1600" w:type="dxa"/>
            <w:vAlign w:val="bottom"/>
            <w:shd w:val="clear" w:color="auto" w:fill="E9F8FD"/>
          </w:tcPr>
          <w:p>
            <w:pPr>
              <w:jc w:val="right"/>
              <w:ind w:right="301"/>
              <w:spacing w:after="0"/>
              <w:rPr>
                <w:sz w:val="20"/>
                <w:szCs w:val="20"/>
                <w:color w:val="auto"/>
              </w:rPr>
            </w:pPr>
            <w:r>
              <w:rPr>
                <w:rFonts w:ascii="Arial" w:cs="Arial" w:eastAsia="Arial" w:hAnsi="Arial"/>
                <w:sz w:val="16"/>
                <w:szCs w:val="16"/>
                <w:color w:val="42B6E9"/>
              </w:rPr>
              <w:t>450,000</w:t>
            </w:r>
          </w:p>
        </w:tc>
        <w:tc>
          <w:tcPr>
            <w:tcW w:w="1340" w:type="dxa"/>
            <w:vAlign w:val="bottom"/>
            <w:shd w:val="clear" w:color="auto" w:fill="E9F8FD"/>
          </w:tcPr>
          <w:p>
            <w:pPr>
              <w:jc w:val="right"/>
              <w:ind w:right="341"/>
              <w:spacing w:after="0"/>
              <w:rPr>
                <w:sz w:val="20"/>
                <w:szCs w:val="20"/>
                <w:color w:val="auto"/>
              </w:rPr>
            </w:pPr>
            <w:r>
              <w:rPr>
                <w:rFonts w:ascii="Arial" w:cs="Arial" w:eastAsia="Arial" w:hAnsi="Arial"/>
                <w:sz w:val="16"/>
                <w:szCs w:val="16"/>
                <w:color w:val="42B6E9"/>
              </w:rPr>
              <w:t>8,534</w:t>
            </w:r>
          </w:p>
        </w:tc>
        <w:tc>
          <w:tcPr>
            <w:tcW w:w="1740" w:type="dxa"/>
            <w:vAlign w:val="bottom"/>
            <w:shd w:val="clear" w:color="auto" w:fill="E9F8FD"/>
          </w:tcPr>
          <w:p>
            <w:pPr>
              <w:jc w:val="right"/>
              <w:ind w:right="462"/>
              <w:spacing w:after="0"/>
              <w:rPr>
                <w:sz w:val="20"/>
                <w:szCs w:val="20"/>
                <w:color w:val="auto"/>
              </w:rPr>
            </w:pPr>
            <w:r>
              <w:rPr>
                <w:rFonts w:ascii="Arial" w:cs="Arial" w:eastAsia="Arial" w:hAnsi="Arial"/>
                <w:sz w:val="16"/>
                <w:szCs w:val="16"/>
                <w:color w:val="42B6E9"/>
              </w:rPr>
              <w:t>—</w:t>
            </w:r>
          </w:p>
        </w:tc>
        <w:tc>
          <w:tcPr>
            <w:tcW w:w="1280" w:type="dxa"/>
            <w:vAlign w:val="bottom"/>
            <w:shd w:val="clear" w:color="auto" w:fill="E9F8FD"/>
          </w:tcPr>
          <w:p>
            <w:pPr>
              <w:jc w:val="right"/>
              <w:ind w:right="41"/>
              <w:spacing w:after="0"/>
              <w:rPr>
                <w:sz w:val="20"/>
                <w:szCs w:val="20"/>
                <w:color w:val="auto"/>
              </w:rPr>
            </w:pPr>
            <w:r>
              <w:rPr>
                <w:rFonts w:ascii="Arial" w:cs="Arial" w:eastAsia="Arial" w:hAnsi="Arial"/>
                <w:sz w:val="16"/>
                <w:szCs w:val="16"/>
                <w:color w:val="42B6E9"/>
              </w:rPr>
              <w:t>458,534</w:t>
            </w:r>
          </w:p>
        </w:tc>
        <w:tc>
          <w:tcPr>
            <w:tcW w:w="0" w:type="dxa"/>
            <w:vAlign w:val="bottom"/>
          </w:tcPr>
          <w:p>
            <w:pPr>
              <w:spacing w:after="0"/>
              <w:rPr>
                <w:sz w:val="1"/>
                <w:szCs w:val="1"/>
                <w:color w:val="auto"/>
              </w:rPr>
            </w:pPr>
          </w:p>
        </w:tc>
      </w:tr>
      <w:tr>
        <w:trPr>
          <w:trHeight w:val="372"/>
        </w:trPr>
        <w:tc>
          <w:tcPr>
            <w:tcW w:w="360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Change in Control or Termination in</w:t>
            </w:r>
          </w:p>
        </w:tc>
        <w:tc>
          <w:tcPr>
            <w:tcW w:w="1600" w:type="dxa"/>
            <w:vAlign w:val="bottom"/>
            <w:shd w:val="clear" w:color="auto" w:fill="E9F8FD"/>
          </w:tcPr>
          <w:p>
            <w:pPr>
              <w:spacing w:after="0"/>
              <w:rPr>
                <w:sz w:val="24"/>
                <w:szCs w:val="24"/>
                <w:color w:val="auto"/>
              </w:rPr>
            </w:pPr>
          </w:p>
        </w:tc>
        <w:tc>
          <w:tcPr>
            <w:tcW w:w="1340" w:type="dxa"/>
            <w:vAlign w:val="bottom"/>
            <w:shd w:val="clear" w:color="auto" w:fill="E9F8FD"/>
          </w:tcPr>
          <w:p>
            <w:pPr>
              <w:spacing w:after="0"/>
              <w:rPr>
                <w:sz w:val="24"/>
                <w:szCs w:val="24"/>
                <w:color w:val="auto"/>
              </w:rPr>
            </w:pPr>
          </w:p>
        </w:tc>
        <w:tc>
          <w:tcPr>
            <w:tcW w:w="1740" w:type="dxa"/>
            <w:vAlign w:val="bottom"/>
            <w:vMerge w:val="restart"/>
            <w:shd w:val="clear" w:color="auto" w:fill="E9F8FD"/>
          </w:tcPr>
          <w:p>
            <w:pPr>
              <w:jc w:val="right"/>
              <w:ind w:right="302"/>
              <w:spacing w:after="0"/>
              <w:rPr>
                <w:sz w:val="20"/>
                <w:szCs w:val="20"/>
                <w:color w:val="auto"/>
              </w:rPr>
            </w:pPr>
            <w:r>
              <w:rPr>
                <w:rFonts w:ascii="Arial" w:cs="Arial" w:eastAsia="Arial" w:hAnsi="Arial"/>
                <w:sz w:val="16"/>
                <w:szCs w:val="16"/>
                <w:color w:val="42B6E9"/>
              </w:rPr>
              <w:t>61,903,806</w:t>
            </w:r>
            <w:r>
              <w:rPr>
                <w:rFonts w:ascii="Arial" w:cs="Arial" w:eastAsia="Arial" w:hAnsi="Arial"/>
                <w:sz w:val="26"/>
                <w:szCs w:val="26"/>
                <w:color w:val="42B6E9"/>
                <w:vertAlign w:val="superscript"/>
              </w:rPr>
              <w:t>(2)</w:t>
            </w:r>
          </w:p>
        </w:tc>
        <w:tc>
          <w:tcPr>
            <w:tcW w:w="1280" w:type="dxa"/>
            <w:vAlign w:val="bottom"/>
            <w:shd w:val="clear" w:color="auto" w:fill="E9F8FD"/>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60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connection with a Change in Control</w:t>
            </w:r>
          </w:p>
        </w:tc>
        <w:tc>
          <w:tcPr>
            <w:tcW w:w="1600" w:type="dxa"/>
            <w:vAlign w:val="bottom"/>
            <w:shd w:val="clear" w:color="auto" w:fill="E9F8FD"/>
          </w:tcPr>
          <w:p>
            <w:pPr>
              <w:jc w:val="right"/>
              <w:ind w:right="301"/>
              <w:spacing w:after="0"/>
              <w:rPr>
                <w:sz w:val="20"/>
                <w:szCs w:val="20"/>
                <w:color w:val="auto"/>
              </w:rPr>
            </w:pPr>
            <w:r>
              <w:rPr>
                <w:rFonts w:ascii="Arial" w:cs="Arial" w:eastAsia="Arial" w:hAnsi="Arial"/>
                <w:sz w:val="16"/>
                <w:szCs w:val="16"/>
                <w:color w:val="42B6E9"/>
              </w:rPr>
              <w:t>675,000</w:t>
            </w:r>
          </w:p>
        </w:tc>
        <w:tc>
          <w:tcPr>
            <w:tcW w:w="1340" w:type="dxa"/>
            <w:vAlign w:val="bottom"/>
            <w:shd w:val="clear" w:color="auto" w:fill="E9F8FD"/>
          </w:tcPr>
          <w:p>
            <w:pPr>
              <w:jc w:val="right"/>
              <w:ind w:right="341"/>
              <w:spacing w:after="0"/>
              <w:rPr>
                <w:sz w:val="20"/>
                <w:szCs w:val="20"/>
                <w:color w:val="auto"/>
              </w:rPr>
            </w:pPr>
            <w:r>
              <w:rPr>
                <w:rFonts w:ascii="Arial" w:cs="Arial" w:eastAsia="Arial" w:hAnsi="Arial"/>
                <w:sz w:val="16"/>
                <w:szCs w:val="16"/>
                <w:color w:val="42B6E9"/>
              </w:rPr>
              <w:t>12,801</w:t>
            </w:r>
          </w:p>
        </w:tc>
        <w:tc>
          <w:tcPr>
            <w:tcW w:w="1740" w:type="dxa"/>
            <w:vAlign w:val="bottom"/>
            <w:vMerge w:val="continue"/>
            <w:shd w:val="clear" w:color="auto" w:fill="E9F8FD"/>
          </w:tcPr>
          <w:p>
            <w:pPr>
              <w:spacing w:after="0"/>
              <w:rPr>
                <w:sz w:val="24"/>
                <w:szCs w:val="24"/>
                <w:color w:val="auto"/>
              </w:rPr>
            </w:pPr>
          </w:p>
        </w:tc>
        <w:tc>
          <w:tcPr>
            <w:tcW w:w="1280" w:type="dxa"/>
            <w:vAlign w:val="bottom"/>
            <w:shd w:val="clear" w:color="auto" w:fill="E9F8FD"/>
          </w:tcPr>
          <w:p>
            <w:pPr>
              <w:jc w:val="center"/>
              <w:ind w:left="161"/>
              <w:spacing w:after="0"/>
              <w:rPr>
                <w:sz w:val="20"/>
                <w:szCs w:val="20"/>
                <w:color w:val="auto"/>
              </w:rPr>
            </w:pPr>
            <w:r>
              <w:rPr>
                <w:rFonts w:ascii="Arial" w:cs="Arial" w:eastAsia="Arial" w:hAnsi="Arial"/>
                <w:sz w:val="16"/>
                <w:szCs w:val="16"/>
                <w:color w:val="42B6E9"/>
                <w:w w:val="99"/>
              </w:rPr>
              <w:t>62,591,607</w:t>
            </w:r>
          </w:p>
        </w:tc>
        <w:tc>
          <w:tcPr>
            <w:tcW w:w="0" w:type="dxa"/>
            <w:vAlign w:val="bottom"/>
          </w:tcPr>
          <w:p>
            <w:pPr>
              <w:spacing w:after="0"/>
              <w:rPr>
                <w:sz w:val="1"/>
                <w:szCs w:val="1"/>
                <w:color w:val="auto"/>
              </w:rPr>
            </w:pPr>
          </w:p>
        </w:tc>
      </w:tr>
      <w:tr>
        <w:trPr>
          <w:trHeight w:val="291"/>
        </w:trPr>
        <w:tc>
          <w:tcPr>
            <w:tcW w:w="3600" w:type="dxa"/>
            <w:vAlign w:val="bottom"/>
          </w:tcPr>
          <w:p>
            <w:pPr>
              <w:ind w:left="60"/>
              <w:spacing w:after="0"/>
              <w:rPr>
                <w:sz w:val="20"/>
                <w:szCs w:val="20"/>
                <w:color w:val="auto"/>
              </w:rPr>
            </w:pPr>
            <w:r>
              <w:rPr>
                <w:rFonts w:ascii="Arial" w:cs="Arial" w:eastAsia="Arial" w:hAnsi="Arial"/>
                <w:sz w:val="16"/>
                <w:szCs w:val="16"/>
                <w:b w:val="1"/>
                <w:bCs w:val="1"/>
                <w:color w:val="42B6E9"/>
              </w:rPr>
              <w:t>Rajat Bahri</w:t>
            </w:r>
          </w:p>
        </w:tc>
        <w:tc>
          <w:tcPr>
            <w:tcW w:w="1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6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360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Termination for reasons other than Cause,</w:t>
            </w:r>
          </w:p>
        </w:tc>
        <w:tc>
          <w:tcPr>
            <w:tcW w:w="1600" w:type="dxa"/>
            <w:vAlign w:val="bottom"/>
            <w:shd w:val="clear" w:color="auto" w:fill="E9F8FD"/>
          </w:tcPr>
          <w:p>
            <w:pPr>
              <w:spacing w:after="0"/>
              <w:rPr>
                <w:sz w:val="24"/>
                <w:szCs w:val="24"/>
                <w:color w:val="auto"/>
              </w:rPr>
            </w:pPr>
          </w:p>
        </w:tc>
        <w:tc>
          <w:tcPr>
            <w:tcW w:w="1340" w:type="dxa"/>
            <w:vAlign w:val="bottom"/>
            <w:shd w:val="clear" w:color="auto" w:fill="E9F8FD"/>
          </w:tcPr>
          <w:p>
            <w:pPr>
              <w:spacing w:after="0"/>
              <w:rPr>
                <w:sz w:val="24"/>
                <w:szCs w:val="24"/>
                <w:color w:val="auto"/>
              </w:rPr>
            </w:pPr>
          </w:p>
        </w:tc>
        <w:tc>
          <w:tcPr>
            <w:tcW w:w="1740" w:type="dxa"/>
            <w:vAlign w:val="bottom"/>
            <w:shd w:val="clear" w:color="auto" w:fill="E9F8FD"/>
          </w:tcPr>
          <w:p>
            <w:pPr>
              <w:spacing w:after="0"/>
              <w:rPr>
                <w:sz w:val="24"/>
                <w:szCs w:val="24"/>
                <w:color w:val="auto"/>
              </w:rPr>
            </w:pPr>
          </w:p>
        </w:tc>
        <w:tc>
          <w:tcPr>
            <w:tcW w:w="1280" w:type="dxa"/>
            <w:vAlign w:val="bottom"/>
            <w:shd w:val="clear" w:color="auto" w:fill="E9F8FD"/>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60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death or Disability, or for Good Reason</w:t>
            </w:r>
          </w:p>
        </w:tc>
        <w:tc>
          <w:tcPr>
            <w:tcW w:w="1600" w:type="dxa"/>
            <w:vAlign w:val="bottom"/>
            <w:shd w:val="clear" w:color="auto" w:fill="E9F8FD"/>
          </w:tcPr>
          <w:p>
            <w:pPr>
              <w:jc w:val="right"/>
              <w:ind w:right="301"/>
              <w:spacing w:after="0"/>
              <w:rPr>
                <w:sz w:val="20"/>
                <w:szCs w:val="20"/>
                <w:color w:val="auto"/>
              </w:rPr>
            </w:pPr>
            <w:r>
              <w:rPr>
                <w:rFonts w:ascii="Arial" w:cs="Arial" w:eastAsia="Arial" w:hAnsi="Arial"/>
                <w:sz w:val="16"/>
                <w:szCs w:val="16"/>
                <w:color w:val="42B6E9"/>
              </w:rPr>
              <w:t>257,500</w:t>
            </w:r>
          </w:p>
        </w:tc>
        <w:tc>
          <w:tcPr>
            <w:tcW w:w="1340" w:type="dxa"/>
            <w:vAlign w:val="bottom"/>
            <w:shd w:val="clear" w:color="auto" w:fill="E9F8FD"/>
          </w:tcPr>
          <w:p>
            <w:pPr>
              <w:jc w:val="right"/>
              <w:ind w:right="341"/>
              <w:spacing w:after="0"/>
              <w:rPr>
                <w:sz w:val="20"/>
                <w:szCs w:val="20"/>
                <w:color w:val="auto"/>
              </w:rPr>
            </w:pPr>
            <w:r>
              <w:rPr>
                <w:rFonts w:ascii="Arial" w:cs="Arial" w:eastAsia="Arial" w:hAnsi="Arial"/>
                <w:sz w:val="16"/>
                <w:szCs w:val="16"/>
                <w:color w:val="42B6E9"/>
              </w:rPr>
              <w:t>4,260</w:t>
            </w:r>
          </w:p>
        </w:tc>
        <w:tc>
          <w:tcPr>
            <w:tcW w:w="1740" w:type="dxa"/>
            <w:vAlign w:val="bottom"/>
            <w:shd w:val="clear" w:color="auto" w:fill="E9F8FD"/>
          </w:tcPr>
          <w:p>
            <w:pPr>
              <w:jc w:val="right"/>
              <w:ind w:right="462"/>
              <w:spacing w:after="0"/>
              <w:rPr>
                <w:sz w:val="20"/>
                <w:szCs w:val="20"/>
                <w:color w:val="auto"/>
              </w:rPr>
            </w:pPr>
            <w:r>
              <w:rPr>
                <w:rFonts w:ascii="Arial" w:cs="Arial" w:eastAsia="Arial" w:hAnsi="Arial"/>
                <w:sz w:val="16"/>
                <w:szCs w:val="16"/>
                <w:color w:val="42B6E9"/>
              </w:rPr>
              <w:t>19,032,400</w:t>
            </w:r>
          </w:p>
        </w:tc>
        <w:tc>
          <w:tcPr>
            <w:tcW w:w="1280" w:type="dxa"/>
            <w:vAlign w:val="bottom"/>
            <w:shd w:val="clear" w:color="auto" w:fill="E9F8FD"/>
          </w:tcPr>
          <w:p>
            <w:pPr>
              <w:jc w:val="center"/>
              <w:ind w:left="161"/>
              <w:spacing w:after="0"/>
              <w:rPr>
                <w:sz w:val="20"/>
                <w:szCs w:val="20"/>
                <w:color w:val="auto"/>
              </w:rPr>
            </w:pPr>
            <w:r>
              <w:rPr>
                <w:rFonts w:ascii="Arial" w:cs="Arial" w:eastAsia="Arial" w:hAnsi="Arial"/>
                <w:sz w:val="16"/>
                <w:szCs w:val="16"/>
                <w:color w:val="42B6E9"/>
                <w:w w:val="99"/>
              </w:rPr>
              <w:t>19,294,160</w:t>
            </w:r>
          </w:p>
        </w:tc>
        <w:tc>
          <w:tcPr>
            <w:tcW w:w="0" w:type="dxa"/>
            <w:vAlign w:val="bottom"/>
          </w:tcPr>
          <w:p>
            <w:pPr>
              <w:spacing w:after="0"/>
              <w:rPr>
                <w:sz w:val="1"/>
                <w:szCs w:val="1"/>
                <w:color w:val="auto"/>
              </w:rPr>
            </w:pPr>
          </w:p>
        </w:tc>
      </w:tr>
      <w:tr>
        <w:trPr>
          <w:trHeight w:val="356"/>
        </w:trPr>
        <w:tc>
          <w:tcPr>
            <w:tcW w:w="360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Change in Control or Termination in</w:t>
            </w:r>
          </w:p>
        </w:tc>
        <w:tc>
          <w:tcPr>
            <w:tcW w:w="1600" w:type="dxa"/>
            <w:vAlign w:val="bottom"/>
            <w:shd w:val="clear" w:color="auto" w:fill="E9F8FD"/>
          </w:tcPr>
          <w:p>
            <w:pPr>
              <w:spacing w:after="0"/>
              <w:rPr>
                <w:sz w:val="24"/>
                <w:szCs w:val="24"/>
                <w:color w:val="auto"/>
              </w:rPr>
            </w:pPr>
          </w:p>
        </w:tc>
        <w:tc>
          <w:tcPr>
            <w:tcW w:w="1340" w:type="dxa"/>
            <w:vAlign w:val="bottom"/>
            <w:shd w:val="clear" w:color="auto" w:fill="E9F8FD"/>
          </w:tcPr>
          <w:p>
            <w:pPr>
              <w:spacing w:after="0"/>
              <w:rPr>
                <w:sz w:val="24"/>
                <w:szCs w:val="24"/>
                <w:color w:val="auto"/>
              </w:rPr>
            </w:pPr>
          </w:p>
        </w:tc>
        <w:tc>
          <w:tcPr>
            <w:tcW w:w="1740" w:type="dxa"/>
            <w:vAlign w:val="bottom"/>
            <w:shd w:val="clear" w:color="auto" w:fill="E9F8FD"/>
          </w:tcPr>
          <w:p>
            <w:pPr>
              <w:spacing w:after="0"/>
              <w:rPr>
                <w:sz w:val="24"/>
                <w:szCs w:val="24"/>
                <w:color w:val="auto"/>
              </w:rPr>
            </w:pPr>
          </w:p>
        </w:tc>
        <w:tc>
          <w:tcPr>
            <w:tcW w:w="1280" w:type="dxa"/>
            <w:vAlign w:val="bottom"/>
            <w:shd w:val="clear" w:color="auto" w:fill="E9F8FD"/>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600" w:type="dxa"/>
            <w:vAlign w:val="bottom"/>
            <w:shd w:val="clear" w:color="auto" w:fill="E9F8FD"/>
          </w:tcPr>
          <w:p>
            <w:pPr>
              <w:ind w:left="60"/>
              <w:spacing w:after="0" w:line="297" w:lineRule="exact"/>
              <w:rPr>
                <w:sz w:val="20"/>
                <w:szCs w:val="20"/>
                <w:color w:val="auto"/>
              </w:rPr>
            </w:pPr>
            <w:r>
              <w:rPr>
                <w:rFonts w:ascii="Arial" w:cs="Arial" w:eastAsia="Arial" w:hAnsi="Arial"/>
                <w:sz w:val="16"/>
                <w:szCs w:val="16"/>
                <w:color w:val="42B6E9"/>
              </w:rPr>
              <w:t>connection with a Change in Control</w:t>
            </w:r>
            <w:r>
              <w:rPr>
                <w:rFonts w:ascii="Arial" w:cs="Arial" w:eastAsia="Arial" w:hAnsi="Arial"/>
                <w:sz w:val="26"/>
                <w:szCs w:val="26"/>
                <w:color w:val="42B6E9"/>
                <w:vertAlign w:val="superscript"/>
              </w:rPr>
              <w:t>(3)</w:t>
            </w:r>
          </w:p>
        </w:tc>
        <w:tc>
          <w:tcPr>
            <w:tcW w:w="1600" w:type="dxa"/>
            <w:vAlign w:val="bottom"/>
            <w:shd w:val="clear" w:color="auto" w:fill="E9F8FD"/>
          </w:tcPr>
          <w:p>
            <w:pPr>
              <w:jc w:val="right"/>
              <w:ind w:right="301"/>
              <w:spacing w:after="0"/>
              <w:rPr>
                <w:sz w:val="20"/>
                <w:szCs w:val="20"/>
                <w:color w:val="auto"/>
              </w:rPr>
            </w:pPr>
            <w:r>
              <w:rPr>
                <w:rFonts w:ascii="Arial" w:cs="Arial" w:eastAsia="Arial" w:hAnsi="Arial"/>
                <w:sz w:val="16"/>
                <w:szCs w:val="16"/>
                <w:color w:val="42B6E9"/>
              </w:rPr>
              <w:t>515,000</w:t>
            </w:r>
          </w:p>
        </w:tc>
        <w:tc>
          <w:tcPr>
            <w:tcW w:w="1340" w:type="dxa"/>
            <w:vAlign w:val="bottom"/>
            <w:shd w:val="clear" w:color="auto" w:fill="E9F8FD"/>
          </w:tcPr>
          <w:p>
            <w:pPr>
              <w:jc w:val="right"/>
              <w:ind w:right="341"/>
              <w:spacing w:after="0"/>
              <w:rPr>
                <w:sz w:val="20"/>
                <w:szCs w:val="20"/>
                <w:color w:val="auto"/>
              </w:rPr>
            </w:pPr>
            <w:r>
              <w:rPr>
                <w:rFonts w:ascii="Arial" w:cs="Arial" w:eastAsia="Arial" w:hAnsi="Arial"/>
                <w:sz w:val="16"/>
                <w:szCs w:val="16"/>
                <w:color w:val="42B6E9"/>
              </w:rPr>
              <w:t>8,534</w:t>
            </w:r>
          </w:p>
        </w:tc>
        <w:tc>
          <w:tcPr>
            <w:tcW w:w="1740" w:type="dxa"/>
            <w:vAlign w:val="bottom"/>
            <w:shd w:val="clear" w:color="auto" w:fill="E9F8FD"/>
          </w:tcPr>
          <w:p>
            <w:pPr>
              <w:jc w:val="right"/>
              <w:ind w:right="462"/>
              <w:spacing w:after="0"/>
              <w:rPr>
                <w:sz w:val="20"/>
                <w:szCs w:val="20"/>
                <w:color w:val="auto"/>
              </w:rPr>
            </w:pPr>
            <w:r>
              <w:rPr>
                <w:rFonts w:ascii="Arial" w:cs="Arial" w:eastAsia="Arial" w:hAnsi="Arial"/>
                <w:sz w:val="16"/>
                <w:szCs w:val="16"/>
                <w:color w:val="42B6E9"/>
              </w:rPr>
              <w:t>37,416,460</w:t>
            </w:r>
          </w:p>
        </w:tc>
        <w:tc>
          <w:tcPr>
            <w:tcW w:w="1280" w:type="dxa"/>
            <w:vAlign w:val="bottom"/>
            <w:shd w:val="clear" w:color="auto" w:fill="E9F8FD"/>
          </w:tcPr>
          <w:p>
            <w:pPr>
              <w:jc w:val="center"/>
              <w:ind w:left="161"/>
              <w:spacing w:after="0"/>
              <w:rPr>
                <w:sz w:val="20"/>
                <w:szCs w:val="20"/>
                <w:color w:val="auto"/>
              </w:rPr>
            </w:pPr>
            <w:r>
              <w:rPr>
                <w:rFonts w:ascii="Arial" w:cs="Arial" w:eastAsia="Arial" w:hAnsi="Arial"/>
                <w:sz w:val="16"/>
                <w:szCs w:val="16"/>
                <w:color w:val="42B6E9"/>
                <w:w w:val="99"/>
              </w:rPr>
              <w:t>37,939,994</w:t>
            </w:r>
          </w:p>
        </w:tc>
        <w:tc>
          <w:tcPr>
            <w:tcW w:w="0" w:type="dxa"/>
            <w:vAlign w:val="bottom"/>
          </w:tcPr>
          <w:p>
            <w:pPr>
              <w:spacing w:after="0"/>
              <w:rPr>
                <w:sz w:val="1"/>
                <w:szCs w:val="1"/>
                <w:color w:val="auto"/>
              </w:rPr>
            </w:pPr>
          </w:p>
        </w:tc>
      </w:tr>
      <w:tr>
        <w:trPr>
          <w:trHeight w:val="291"/>
        </w:trPr>
        <w:tc>
          <w:tcPr>
            <w:tcW w:w="3600" w:type="dxa"/>
            <w:vAlign w:val="bottom"/>
          </w:tcPr>
          <w:p>
            <w:pPr>
              <w:ind w:left="60"/>
              <w:spacing w:after="0"/>
              <w:rPr>
                <w:sz w:val="20"/>
                <w:szCs w:val="20"/>
                <w:color w:val="auto"/>
              </w:rPr>
            </w:pPr>
            <w:r>
              <w:rPr>
                <w:rFonts w:ascii="Arial" w:cs="Arial" w:eastAsia="Arial" w:hAnsi="Arial"/>
                <w:sz w:val="16"/>
                <w:szCs w:val="16"/>
                <w:b w:val="1"/>
                <w:bCs w:val="1"/>
                <w:color w:val="42B6E9"/>
              </w:rPr>
              <w:t>Devang Shah</w:t>
            </w:r>
          </w:p>
        </w:tc>
        <w:tc>
          <w:tcPr>
            <w:tcW w:w="1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6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360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Termination for reasons other than Cause,</w:t>
            </w:r>
          </w:p>
        </w:tc>
        <w:tc>
          <w:tcPr>
            <w:tcW w:w="1600" w:type="dxa"/>
            <w:vAlign w:val="bottom"/>
            <w:shd w:val="clear" w:color="auto" w:fill="E9F8FD"/>
          </w:tcPr>
          <w:p>
            <w:pPr>
              <w:spacing w:after="0"/>
              <w:rPr>
                <w:sz w:val="24"/>
                <w:szCs w:val="24"/>
                <w:color w:val="auto"/>
              </w:rPr>
            </w:pPr>
          </w:p>
        </w:tc>
        <w:tc>
          <w:tcPr>
            <w:tcW w:w="1340" w:type="dxa"/>
            <w:vAlign w:val="bottom"/>
            <w:shd w:val="clear" w:color="auto" w:fill="E9F8FD"/>
          </w:tcPr>
          <w:p>
            <w:pPr>
              <w:spacing w:after="0"/>
              <w:rPr>
                <w:sz w:val="24"/>
                <w:szCs w:val="24"/>
                <w:color w:val="auto"/>
              </w:rPr>
            </w:pPr>
          </w:p>
        </w:tc>
        <w:tc>
          <w:tcPr>
            <w:tcW w:w="1740" w:type="dxa"/>
            <w:vAlign w:val="bottom"/>
            <w:shd w:val="clear" w:color="auto" w:fill="E9F8FD"/>
          </w:tcPr>
          <w:p>
            <w:pPr>
              <w:spacing w:after="0"/>
              <w:rPr>
                <w:sz w:val="24"/>
                <w:szCs w:val="24"/>
                <w:color w:val="auto"/>
              </w:rPr>
            </w:pPr>
          </w:p>
        </w:tc>
        <w:tc>
          <w:tcPr>
            <w:tcW w:w="1280" w:type="dxa"/>
            <w:vAlign w:val="bottom"/>
            <w:shd w:val="clear" w:color="auto" w:fill="E9F8FD"/>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60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death or Disability, or for Good Reason</w:t>
            </w:r>
          </w:p>
        </w:tc>
        <w:tc>
          <w:tcPr>
            <w:tcW w:w="1600" w:type="dxa"/>
            <w:vAlign w:val="bottom"/>
            <w:shd w:val="clear" w:color="auto" w:fill="E9F8FD"/>
          </w:tcPr>
          <w:p>
            <w:pPr>
              <w:jc w:val="right"/>
              <w:ind w:right="301"/>
              <w:spacing w:after="0"/>
              <w:rPr>
                <w:sz w:val="20"/>
                <w:szCs w:val="20"/>
                <w:color w:val="auto"/>
              </w:rPr>
            </w:pPr>
            <w:r>
              <w:rPr>
                <w:rFonts w:ascii="Arial" w:cs="Arial" w:eastAsia="Arial" w:hAnsi="Arial"/>
                <w:sz w:val="16"/>
                <w:szCs w:val="16"/>
                <w:color w:val="42B6E9"/>
              </w:rPr>
              <w:t>225,000</w:t>
            </w:r>
          </w:p>
        </w:tc>
        <w:tc>
          <w:tcPr>
            <w:tcW w:w="1340" w:type="dxa"/>
            <w:vAlign w:val="bottom"/>
            <w:shd w:val="clear" w:color="auto" w:fill="E9F8FD"/>
          </w:tcPr>
          <w:p>
            <w:pPr>
              <w:jc w:val="right"/>
              <w:ind w:right="341"/>
              <w:spacing w:after="0"/>
              <w:rPr>
                <w:sz w:val="20"/>
                <w:szCs w:val="20"/>
                <w:color w:val="auto"/>
              </w:rPr>
            </w:pPr>
            <w:r>
              <w:rPr>
                <w:rFonts w:ascii="Arial" w:cs="Arial" w:eastAsia="Arial" w:hAnsi="Arial"/>
                <w:sz w:val="16"/>
                <w:szCs w:val="16"/>
                <w:color w:val="42B6E9"/>
              </w:rPr>
              <w:t>4,260</w:t>
            </w:r>
          </w:p>
        </w:tc>
        <w:tc>
          <w:tcPr>
            <w:tcW w:w="1740" w:type="dxa"/>
            <w:vAlign w:val="bottom"/>
            <w:shd w:val="clear" w:color="auto" w:fill="E9F8FD"/>
          </w:tcPr>
          <w:p>
            <w:pPr>
              <w:jc w:val="center"/>
              <w:ind w:right="22"/>
              <w:spacing w:after="0"/>
              <w:rPr>
                <w:sz w:val="20"/>
                <w:szCs w:val="20"/>
                <w:color w:val="auto"/>
              </w:rPr>
            </w:pPr>
            <w:r>
              <w:rPr>
                <w:rFonts w:ascii="Arial" w:cs="Arial" w:eastAsia="Arial" w:hAnsi="Arial"/>
                <w:sz w:val="16"/>
                <w:szCs w:val="16"/>
                <w:color w:val="42B6E9"/>
              </w:rPr>
              <w:t>4,381,175</w:t>
            </w:r>
          </w:p>
        </w:tc>
        <w:tc>
          <w:tcPr>
            <w:tcW w:w="1280" w:type="dxa"/>
            <w:vAlign w:val="bottom"/>
            <w:shd w:val="clear" w:color="auto" w:fill="E9F8FD"/>
          </w:tcPr>
          <w:p>
            <w:pPr>
              <w:jc w:val="right"/>
              <w:ind w:right="41"/>
              <w:spacing w:after="0"/>
              <w:rPr>
                <w:sz w:val="20"/>
                <w:szCs w:val="20"/>
                <w:color w:val="auto"/>
              </w:rPr>
            </w:pPr>
            <w:r>
              <w:rPr>
                <w:rFonts w:ascii="Arial" w:cs="Arial" w:eastAsia="Arial" w:hAnsi="Arial"/>
                <w:sz w:val="16"/>
                <w:szCs w:val="16"/>
                <w:color w:val="42B6E9"/>
              </w:rPr>
              <w:t>4,610,435</w:t>
            </w:r>
          </w:p>
        </w:tc>
        <w:tc>
          <w:tcPr>
            <w:tcW w:w="0" w:type="dxa"/>
            <w:vAlign w:val="bottom"/>
          </w:tcPr>
          <w:p>
            <w:pPr>
              <w:spacing w:after="0"/>
              <w:rPr>
                <w:sz w:val="1"/>
                <w:szCs w:val="1"/>
                <w:color w:val="auto"/>
              </w:rPr>
            </w:pPr>
          </w:p>
        </w:tc>
      </w:tr>
      <w:tr>
        <w:trPr>
          <w:trHeight w:val="372"/>
        </w:trPr>
        <w:tc>
          <w:tcPr>
            <w:tcW w:w="360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Change in Control or Termination in</w:t>
            </w:r>
          </w:p>
        </w:tc>
        <w:tc>
          <w:tcPr>
            <w:tcW w:w="1600" w:type="dxa"/>
            <w:vAlign w:val="bottom"/>
            <w:shd w:val="clear" w:color="auto" w:fill="E9F8FD"/>
          </w:tcPr>
          <w:p>
            <w:pPr>
              <w:spacing w:after="0"/>
              <w:rPr>
                <w:sz w:val="24"/>
                <w:szCs w:val="24"/>
                <w:color w:val="auto"/>
              </w:rPr>
            </w:pPr>
          </w:p>
        </w:tc>
        <w:tc>
          <w:tcPr>
            <w:tcW w:w="1340" w:type="dxa"/>
            <w:vAlign w:val="bottom"/>
            <w:shd w:val="clear" w:color="auto" w:fill="E9F8FD"/>
          </w:tcPr>
          <w:p>
            <w:pPr>
              <w:spacing w:after="0"/>
              <w:rPr>
                <w:sz w:val="24"/>
                <w:szCs w:val="24"/>
                <w:color w:val="auto"/>
              </w:rPr>
            </w:pPr>
          </w:p>
        </w:tc>
        <w:tc>
          <w:tcPr>
            <w:tcW w:w="1740" w:type="dxa"/>
            <w:vAlign w:val="bottom"/>
            <w:shd w:val="clear" w:color="auto" w:fill="E9F8FD"/>
          </w:tcPr>
          <w:p>
            <w:pPr>
              <w:spacing w:after="0"/>
              <w:rPr>
                <w:sz w:val="24"/>
                <w:szCs w:val="24"/>
                <w:color w:val="auto"/>
              </w:rPr>
            </w:pPr>
          </w:p>
        </w:tc>
        <w:tc>
          <w:tcPr>
            <w:tcW w:w="1280" w:type="dxa"/>
            <w:vAlign w:val="bottom"/>
            <w:shd w:val="clear" w:color="auto" w:fill="E9F8FD"/>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60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connection with a Change in Control</w:t>
            </w:r>
          </w:p>
        </w:tc>
        <w:tc>
          <w:tcPr>
            <w:tcW w:w="1600" w:type="dxa"/>
            <w:vAlign w:val="bottom"/>
            <w:shd w:val="clear" w:color="auto" w:fill="E9F8FD"/>
          </w:tcPr>
          <w:p>
            <w:pPr>
              <w:jc w:val="right"/>
              <w:ind w:right="301"/>
              <w:spacing w:after="0"/>
              <w:rPr>
                <w:sz w:val="20"/>
                <w:szCs w:val="20"/>
                <w:color w:val="auto"/>
              </w:rPr>
            </w:pPr>
            <w:r>
              <w:rPr>
                <w:rFonts w:ascii="Arial" w:cs="Arial" w:eastAsia="Arial" w:hAnsi="Arial"/>
                <w:sz w:val="16"/>
                <w:szCs w:val="16"/>
                <w:color w:val="42B6E9"/>
              </w:rPr>
              <w:t>450,000</w:t>
            </w:r>
          </w:p>
        </w:tc>
        <w:tc>
          <w:tcPr>
            <w:tcW w:w="1340" w:type="dxa"/>
            <w:vAlign w:val="bottom"/>
            <w:shd w:val="clear" w:color="auto" w:fill="E9F8FD"/>
          </w:tcPr>
          <w:p>
            <w:pPr>
              <w:jc w:val="right"/>
              <w:ind w:right="341"/>
              <w:spacing w:after="0"/>
              <w:rPr>
                <w:sz w:val="20"/>
                <w:szCs w:val="20"/>
                <w:color w:val="auto"/>
              </w:rPr>
            </w:pPr>
            <w:r>
              <w:rPr>
                <w:rFonts w:ascii="Arial" w:cs="Arial" w:eastAsia="Arial" w:hAnsi="Arial"/>
                <w:sz w:val="16"/>
                <w:szCs w:val="16"/>
                <w:color w:val="42B6E9"/>
              </w:rPr>
              <w:t>8,534</w:t>
            </w:r>
          </w:p>
        </w:tc>
        <w:tc>
          <w:tcPr>
            <w:tcW w:w="1740" w:type="dxa"/>
            <w:vAlign w:val="bottom"/>
            <w:shd w:val="clear" w:color="auto" w:fill="E9F8FD"/>
          </w:tcPr>
          <w:p>
            <w:pPr>
              <w:jc w:val="right"/>
              <w:ind w:right="462"/>
              <w:spacing w:after="0"/>
              <w:rPr>
                <w:sz w:val="20"/>
                <w:szCs w:val="20"/>
                <w:color w:val="auto"/>
              </w:rPr>
            </w:pPr>
            <w:r>
              <w:rPr>
                <w:rFonts w:ascii="Arial" w:cs="Arial" w:eastAsia="Arial" w:hAnsi="Arial"/>
                <w:sz w:val="16"/>
                <w:szCs w:val="16"/>
                <w:color w:val="42B6E9"/>
              </w:rPr>
              <w:t>12,110,922</w:t>
            </w:r>
          </w:p>
        </w:tc>
        <w:tc>
          <w:tcPr>
            <w:tcW w:w="1280" w:type="dxa"/>
            <w:vAlign w:val="bottom"/>
            <w:shd w:val="clear" w:color="auto" w:fill="E9F8FD"/>
          </w:tcPr>
          <w:p>
            <w:pPr>
              <w:jc w:val="center"/>
              <w:ind w:left="161"/>
              <w:spacing w:after="0"/>
              <w:rPr>
                <w:sz w:val="20"/>
                <w:szCs w:val="20"/>
                <w:color w:val="auto"/>
              </w:rPr>
            </w:pPr>
            <w:r>
              <w:rPr>
                <w:rFonts w:ascii="Arial" w:cs="Arial" w:eastAsia="Arial" w:hAnsi="Arial"/>
                <w:sz w:val="16"/>
                <w:szCs w:val="16"/>
                <w:color w:val="42B6E9"/>
                <w:w w:val="99"/>
              </w:rPr>
              <w:t>12,569,456</w:t>
            </w:r>
          </w:p>
        </w:tc>
        <w:tc>
          <w:tcPr>
            <w:tcW w:w="0" w:type="dxa"/>
            <w:vAlign w:val="bottom"/>
          </w:tcPr>
          <w:p>
            <w:pPr>
              <w:spacing w:after="0"/>
              <w:rPr>
                <w:sz w:val="1"/>
                <w:szCs w:val="1"/>
                <w:color w:val="auto"/>
              </w:rPr>
            </w:pPr>
          </w:p>
        </w:tc>
      </w:tr>
      <w:tr>
        <w:trPr>
          <w:trHeight w:val="87"/>
        </w:trPr>
        <w:tc>
          <w:tcPr>
            <w:tcW w:w="3600" w:type="dxa"/>
            <w:vAlign w:val="bottom"/>
            <w:shd w:val="clear" w:color="auto" w:fill="E9F8FD"/>
          </w:tcPr>
          <w:p>
            <w:pPr>
              <w:spacing w:after="0"/>
              <w:rPr>
                <w:sz w:val="7"/>
                <w:szCs w:val="7"/>
                <w:color w:val="auto"/>
              </w:rPr>
            </w:pPr>
          </w:p>
        </w:tc>
        <w:tc>
          <w:tcPr>
            <w:tcW w:w="1600" w:type="dxa"/>
            <w:vAlign w:val="bottom"/>
            <w:shd w:val="clear" w:color="auto" w:fill="E9F8FD"/>
          </w:tcPr>
          <w:p>
            <w:pPr>
              <w:spacing w:after="0"/>
              <w:rPr>
                <w:sz w:val="7"/>
                <w:szCs w:val="7"/>
                <w:color w:val="auto"/>
              </w:rPr>
            </w:pPr>
          </w:p>
        </w:tc>
        <w:tc>
          <w:tcPr>
            <w:tcW w:w="1340" w:type="dxa"/>
            <w:vAlign w:val="bottom"/>
            <w:shd w:val="clear" w:color="auto" w:fill="E9F8FD"/>
          </w:tcPr>
          <w:p>
            <w:pPr>
              <w:spacing w:after="0"/>
              <w:rPr>
                <w:sz w:val="7"/>
                <w:szCs w:val="7"/>
                <w:color w:val="auto"/>
              </w:rPr>
            </w:pPr>
          </w:p>
        </w:tc>
        <w:tc>
          <w:tcPr>
            <w:tcW w:w="1740" w:type="dxa"/>
            <w:vAlign w:val="bottom"/>
            <w:shd w:val="clear" w:color="auto" w:fill="E9F8FD"/>
          </w:tcPr>
          <w:p>
            <w:pPr>
              <w:spacing w:after="0"/>
              <w:rPr>
                <w:sz w:val="7"/>
                <w:szCs w:val="7"/>
                <w:color w:val="auto"/>
              </w:rPr>
            </w:pPr>
          </w:p>
        </w:tc>
        <w:tc>
          <w:tcPr>
            <w:tcW w:w="1280" w:type="dxa"/>
            <w:vAlign w:val="bottom"/>
            <w:shd w:val="clear" w:color="auto" w:fill="E9F8FD"/>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600" w:type="dxa"/>
            <w:vAlign w:val="bottom"/>
          </w:tcPr>
          <w:p>
            <w:pPr>
              <w:ind w:left="60"/>
              <w:spacing w:after="0"/>
              <w:rPr>
                <w:sz w:val="20"/>
                <w:szCs w:val="20"/>
                <w:color w:val="auto"/>
              </w:rPr>
            </w:pPr>
            <w:r>
              <w:rPr>
                <w:rFonts w:ascii="Arial" w:cs="Arial" w:eastAsia="Arial" w:hAnsi="Arial"/>
                <w:sz w:val="16"/>
                <w:szCs w:val="16"/>
                <w:b w:val="1"/>
                <w:bCs w:val="1"/>
                <w:color w:val="42B6E9"/>
              </w:rPr>
              <w:t>Thomas Chuang</w:t>
            </w:r>
          </w:p>
        </w:tc>
        <w:tc>
          <w:tcPr>
            <w:tcW w:w="1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6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360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Termination for reasons other than Cause,</w:t>
            </w:r>
          </w:p>
        </w:tc>
        <w:tc>
          <w:tcPr>
            <w:tcW w:w="1600" w:type="dxa"/>
            <w:vAlign w:val="bottom"/>
            <w:shd w:val="clear" w:color="auto" w:fill="E9F8FD"/>
          </w:tcPr>
          <w:p>
            <w:pPr>
              <w:spacing w:after="0"/>
              <w:rPr>
                <w:sz w:val="24"/>
                <w:szCs w:val="24"/>
                <w:color w:val="auto"/>
              </w:rPr>
            </w:pPr>
          </w:p>
        </w:tc>
        <w:tc>
          <w:tcPr>
            <w:tcW w:w="1340" w:type="dxa"/>
            <w:vAlign w:val="bottom"/>
            <w:shd w:val="clear" w:color="auto" w:fill="E9F8FD"/>
          </w:tcPr>
          <w:p>
            <w:pPr>
              <w:spacing w:after="0"/>
              <w:rPr>
                <w:sz w:val="24"/>
                <w:szCs w:val="24"/>
                <w:color w:val="auto"/>
              </w:rPr>
            </w:pPr>
          </w:p>
        </w:tc>
        <w:tc>
          <w:tcPr>
            <w:tcW w:w="1740" w:type="dxa"/>
            <w:vAlign w:val="bottom"/>
            <w:shd w:val="clear" w:color="auto" w:fill="E9F8FD"/>
          </w:tcPr>
          <w:p>
            <w:pPr>
              <w:spacing w:after="0"/>
              <w:rPr>
                <w:sz w:val="24"/>
                <w:szCs w:val="24"/>
                <w:color w:val="auto"/>
              </w:rPr>
            </w:pPr>
          </w:p>
        </w:tc>
        <w:tc>
          <w:tcPr>
            <w:tcW w:w="1280" w:type="dxa"/>
            <w:vAlign w:val="bottom"/>
            <w:shd w:val="clear" w:color="auto" w:fill="E9F8FD"/>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60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death or Disability, or for Good Reason</w:t>
            </w:r>
          </w:p>
        </w:tc>
        <w:tc>
          <w:tcPr>
            <w:tcW w:w="1600" w:type="dxa"/>
            <w:vAlign w:val="bottom"/>
            <w:shd w:val="clear" w:color="auto" w:fill="E9F8FD"/>
          </w:tcPr>
          <w:p>
            <w:pPr>
              <w:jc w:val="right"/>
              <w:ind w:right="301"/>
              <w:spacing w:after="0"/>
              <w:rPr>
                <w:sz w:val="20"/>
                <w:szCs w:val="20"/>
                <w:color w:val="auto"/>
              </w:rPr>
            </w:pPr>
            <w:r>
              <w:rPr>
                <w:rFonts w:ascii="Arial" w:cs="Arial" w:eastAsia="Arial" w:hAnsi="Arial"/>
                <w:sz w:val="16"/>
                <w:szCs w:val="16"/>
                <w:color w:val="42B6E9"/>
              </w:rPr>
              <w:t>152,500</w:t>
            </w:r>
          </w:p>
        </w:tc>
        <w:tc>
          <w:tcPr>
            <w:tcW w:w="1340" w:type="dxa"/>
            <w:vAlign w:val="bottom"/>
            <w:shd w:val="clear" w:color="auto" w:fill="E9F8FD"/>
          </w:tcPr>
          <w:p>
            <w:pPr>
              <w:jc w:val="right"/>
              <w:ind w:right="341"/>
              <w:spacing w:after="0"/>
              <w:rPr>
                <w:sz w:val="20"/>
                <w:szCs w:val="20"/>
                <w:color w:val="auto"/>
              </w:rPr>
            </w:pPr>
            <w:r>
              <w:rPr>
                <w:rFonts w:ascii="Arial" w:cs="Arial" w:eastAsia="Arial" w:hAnsi="Arial"/>
                <w:sz w:val="16"/>
                <w:szCs w:val="16"/>
                <w:color w:val="42B6E9"/>
              </w:rPr>
              <w:t>4,260</w:t>
            </w:r>
          </w:p>
        </w:tc>
        <w:tc>
          <w:tcPr>
            <w:tcW w:w="1740" w:type="dxa"/>
            <w:vAlign w:val="bottom"/>
            <w:shd w:val="clear" w:color="auto" w:fill="E9F8FD"/>
          </w:tcPr>
          <w:p>
            <w:pPr>
              <w:jc w:val="right"/>
              <w:ind w:right="462"/>
              <w:spacing w:after="0"/>
              <w:rPr>
                <w:sz w:val="20"/>
                <w:szCs w:val="20"/>
                <w:color w:val="auto"/>
              </w:rPr>
            </w:pPr>
            <w:r>
              <w:rPr>
                <w:rFonts w:ascii="Arial" w:cs="Arial" w:eastAsia="Arial" w:hAnsi="Arial"/>
                <w:sz w:val="16"/>
                <w:szCs w:val="16"/>
                <w:color w:val="42B6E9"/>
              </w:rPr>
              <w:t>—</w:t>
            </w:r>
          </w:p>
        </w:tc>
        <w:tc>
          <w:tcPr>
            <w:tcW w:w="1280" w:type="dxa"/>
            <w:vAlign w:val="bottom"/>
            <w:shd w:val="clear" w:color="auto" w:fill="E9F8FD"/>
          </w:tcPr>
          <w:p>
            <w:pPr>
              <w:jc w:val="right"/>
              <w:ind w:right="41"/>
              <w:spacing w:after="0"/>
              <w:rPr>
                <w:sz w:val="20"/>
                <w:szCs w:val="20"/>
                <w:color w:val="auto"/>
              </w:rPr>
            </w:pPr>
            <w:r>
              <w:rPr>
                <w:rFonts w:ascii="Arial" w:cs="Arial" w:eastAsia="Arial" w:hAnsi="Arial"/>
                <w:sz w:val="16"/>
                <w:szCs w:val="16"/>
                <w:color w:val="42B6E9"/>
              </w:rPr>
              <w:t>156,760</w:t>
            </w:r>
          </w:p>
        </w:tc>
        <w:tc>
          <w:tcPr>
            <w:tcW w:w="0" w:type="dxa"/>
            <w:vAlign w:val="bottom"/>
          </w:tcPr>
          <w:p>
            <w:pPr>
              <w:spacing w:after="0"/>
              <w:rPr>
                <w:sz w:val="1"/>
                <w:szCs w:val="1"/>
                <w:color w:val="auto"/>
              </w:rPr>
            </w:pPr>
          </w:p>
        </w:tc>
      </w:tr>
      <w:tr>
        <w:trPr>
          <w:trHeight w:val="372"/>
        </w:trPr>
        <w:tc>
          <w:tcPr>
            <w:tcW w:w="360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Change in Control or Termination in</w:t>
            </w:r>
          </w:p>
        </w:tc>
        <w:tc>
          <w:tcPr>
            <w:tcW w:w="1600" w:type="dxa"/>
            <w:vAlign w:val="bottom"/>
            <w:shd w:val="clear" w:color="auto" w:fill="E9F8FD"/>
          </w:tcPr>
          <w:p>
            <w:pPr>
              <w:spacing w:after="0"/>
              <w:rPr>
                <w:sz w:val="24"/>
                <w:szCs w:val="24"/>
                <w:color w:val="auto"/>
              </w:rPr>
            </w:pPr>
          </w:p>
        </w:tc>
        <w:tc>
          <w:tcPr>
            <w:tcW w:w="1340" w:type="dxa"/>
            <w:vAlign w:val="bottom"/>
            <w:shd w:val="clear" w:color="auto" w:fill="E9F8FD"/>
          </w:tcPr>
          <w:p>
            <w:pPr>
              <w:spacing w:after="0"/>
              <w:rPr>
                <w:sz w:val="24"/>
                <w:szCs w:val="24"/>
                <w:color w:val="auto"/>
              </w:rPr>
            </w:pPr>
          </w:p>
        </w:tc>
        <w:tc>
          <w:tcPr>
            <w:tcW w:w="1740" w:type="dxa"/>
            <w:vAlign w:val="bottom"/>
            <w:shd w:val="clear" w:color="auto" w:fill="E9F8FD"/>
          </w:tcPr>
          <w:p>
            <w:pPr>
              <w:spacing w:after="0"/>
              <w:rPr>
                <w:sz w:val="24"/>
                <w:szCs w:val="24"/>
                <w:color w:val="auto"/>
              </w:rPr>
            </w:pPr>
          </w:p>
        </w:tc>
        <w:tc>
          <w:tcPr>
            <w:tcW w:w="1280" w:type="dxa"/>
            <w:vAlign w:val="bottom"/>
            <w:shd w:val="clear" w:color="auto" w:fill="E9F8FD"/>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60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connection with a Change in Control</w:t>
            </w:r>
          </w:p>
        </w:tc>
        <w:tc>
          <w:tcPr>
            <w:tcW w:w="1600" w:type="dxa"/>
            <w:vAlign w:val="bottom"/>
            <w:shd w:val="clear" w:color="auto" w:fill="E9F8FD"/>
          </w:tcPr>
          <w:p>
            <w:pPr>
              <w:jc w:val="right"/>
              <w:ind w:right="301"/>
              <w:spacing w:after="0"/>
              <w:rPr>
                <w:sz w:val="20"/>
                <w:szCs w:val="20"/>
                <w:color w:val="auto"/>
              </w:rPr>
            </w:pPr>
            <w:r>
              <w:rPr>
                <w:rFonts w:ascii="Arial" w:cs="Arial" w:eastAsia="Arial" w:hAnsi="Arial"/>
                <w:sz w:val="16"/>
                <w:szCs w:val="16"/>
                <w:color w:val="42B6E9"/>
              </w:rPr>
              <w:t>305,000</w:t>
            </w:r>
          </w:p>
        </w:tc>
        <w:tc>
          <w:tcPr>
            <w:tcW w:w="1340" w:type="dxa"/>
            <w:vAlign w:val="bottom"/>
            <w:shd w:val="clear" w:color="auto" w:fill="E9F8FD"/>
          </w:tcPr>
          <w:p>
            <w:pPr>
              <w:jc w:val="right"/>
              <w:ind w:right="341"/>
              <w:spacing w:after="0"/>
              <w:rPr>
                <w:sz w:val="20"/>
                <w:szCs w:val="20"/>
                <w:color w:val="auto"/>
              </w:rPr>
            </w:pPr>
            <w:r>
              <w:rPr>
                <w:rFonts w:ascii="Arial" w:cs="Arial" w:eastAsia="Arial" w:hAnsi="Arial"/>
                <w:sz w:val="16"/>
                <w:szCs w:val="16"/>
                <w:color w:val="42B6E9"/>
              </w:rPr>
              <w:t>8,534</w:t>
            </w:r>
          </w:p>
        </w:tc>
        <w:tc>
          <w:tcPr>
            <w:tcW w:w="1740" w:type="dxa"/>
            <w:vAlign w:val="bottom"/>
            <w:shd w:val="clear" w:color="auto" w:fill="E9F8FD"/>
          </w:tcPr>
          <w:p>
            <w:pPr>
              <w:jc w:val="center"/>
              <w:ind w:right="22"/>
              <w:spacing w:after="0"/>
              <w:rPr>
                <w:sz w:val="20"/>
                <w:szCs w:val="20"/>
                <w:color w:val="auto"/>
              </w:rPr>
            </w:pPr>
            <w:r>
              <w:rPr>
                <w:rFonts w:ascii="Arial" w:cs="Arial" w:eastAsia="Arial" w:hAnsi="Arial"/>
                <w:sz w:val="16"/>
                <w:szCs w:val="16"/>
                <w:color w:val="42B6E9"/>
              </w:rPr>
              <w:t>3,634,885</w:t>
            </w:r>
          </w:p>
        </w:tc>
        <w:tc>
          <w:tcPr>
            <w:tcW w:w="1280" w:type="dxa"/>
            <w:vAlign w:val="bottom"/>
            <w:shd w:val="clear" w:color="auto" w:fill="E9F8FD"/>
          </w:tcPr>
          <w:p>
            <w:pPr>
              <w:jc w:val="right"/>
              <w:ind w:right="41"/>
              <w:spacing w:after="0"/>
              <w:rPr>
                <w:sz w:val="20"/>
                <w:szCs w:val="20"/>
                <w:color w:val="auto"/>
              </w:rPr>
            </w:pPr>
            <w:r>
              <w:rPr>
                <w:rFonts w:ascii="Arial" w:cs="Arial" w:eastAsia="Arial" w:hAnsi="Arial"/>
                <w:sz w:val="16"/>
                <w:szCs w:val="16"/>
                <w:color w:val="42B6E9"/>
              </w:rPr>
              <w:t>3,948,419</w:t>
            </w:r>
          </w:p>
        </w:tc>
        <w:tc>
          <w:tcPr>
            <w:tcW w:w="0" w:type="dxa"/>
            <w:vAlign w:val="bottom"/>
          </w:tcPr>
          <w:p>
            <w:pPr>
              <w:spacing w:after="0"/>
              <w:rPr>
                <w:sz w:val="1"/>
                <w:szCs w:val="1"/>
                <w:color w:val="auto"/>
              </w:rPr>
            </w:pPr>
          </w:p>
        </w:tc>
      </w:tr>
      <w:tr>
        <w:trPr>
          <w:trHeight w:val="87"/>
        </w:trPr>
        <w:tc>
          <w:tcPr>
            <w:tcW w:w="3600" w:type="dxa"/>
            <w:vAlign w:val="bottom"/>
            <w:shd w:val="clear" w:color="auto" w:fill="E9F8FD"/>
          </w:tcPr>
          <w:p>
            <w:pPr>
              <w:spacing w:after="0"/>
              <w:rPr>
                <w:sz w:val="7"/>
                <w:szCs w:val="7"/>
                <w:color w:val="auto"/>
              </w:rPr>
            </w:pPr>
          </w:p>
        </w:tc>
        <w:tc>
          <w:tcPr>
            <w:tcW w:w="1600" w:type="dxa"/>
            <w:vAlign w:val="bottom"/>
            <w:shd w:val="clear" w:color="auto" w:fill="E9F8FD"/>
          </w:tcPr>
          <w:p>
            <w:pPr>
              <w:spacing w:after="0"/>
              <w:rPr>
                <w:sz w:val="7"/>
                <w:szCs w:val="7"/>
                <w:color w:val="auto"/>
              </w:rPr>
            </w:pPr>
          </w:p>
        </w:tc>
        <w:tc>
          <w:tcPr>
            <w:tcW w:w="1340" w:type="dxa"/>
            <w:vAlign w:val="bottom"/>
            <w:shd w:val="clear" w:color="auto" w:fill="E9F8FD"/>
          </w:tcPr>
          <w:p>
            <w:pPr>
              <w:spacing w:after="0"/>
              <w:rPr>
                <w:sz w:val="7"/>
                <w:szCs w:val="7"/>
                <w:color w:val="auto"/>
              </w:rPr>
            </w:pPr>
          </w:p>
        </w:tc>
        <w:tc>
          <w:tcPr>
            <w:tcW w:w="1740" w:type="dxa"/>
            <w:vAlign w:val="bottom"/>
            <w:shd w:val="clear" w:color="auto" w:fill="E9F8FD"/>
          </w:tcPr>
          <w:p>
            <w:pPr>
              <w:spacing w:after="0"/>
              <w:rPr>
                <w:sz w:val="7"/>
                <w:szCs w:val="7"/>
                <w:color w:val="auto"/>
              </w:rPr>
            </w:pPr>
          </w:p>
        </w:tc>
        <w:tc>
          <w:tcPr>
            <w:tcW w:w="1280" w:type="dxa"/>
            <w:vAlign w:val="bottom"/>
            <w:shd w:val="clear" w:color="auto" w:fill="E9F8FD"/>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600" w:type="dxa"/>
            <w:vAlign w:val="bottom"/>
          </w:tcPr>
          <w:p>
            <w:pPr>
              <w:ind w:left="60"/>
              <w:spacing w:after="0"/>
              <w:rPr>
                <w:sz w:val="20"/>
                <w:szCs w:val="20"/>
                <w:color w:val="auto"/>
              </w:rPr>
            </w:pPr>
            <w:r>
              <w:rPr>
                <w:rFonts w:ascii="Arial" w:cs="Arial" w:eastAsia="Arial" w:hAnsi="Arial"/>
                <w:sz w:val="16"/>
                <w:szCs w:val="16"/>
                <w:b w:val="1"/>
                <w:bCs w:val="1"/>
                <w:color w:val="42B6E9"/>
              </w:rPr>
              <w:t>Pai Liu</w:t>
            </w:r>
          </w:p>
        </w:tc>
        <w:tc>
          <w:tcPr>
            <w:tcW w:w="1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6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360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Termination for reasons other than Cause,</w:t>
            </w:r>
          </w:p>
        </w:tc>
        <w:tc>
          <w:tcPr>
            <w:tcW w:w="1600" w:type="dxa"/>
            <w:vAlign w:val="bottom"/>
            <w:shd w:val="clear" w:color="auto" w:fill="E9F8FD"/>
          </w:tcPr>
          <w:p>
            <w:pPr>
              <w:spacing w:after="0"/>
              <w:rPr>
                <w:sz w:val="24"/>
                <w:szCs w:val="24"/>
                <w:color w:val="auto"/>
              </w:rPr>
            </w:pPr>
          </w:p>
        </w:tc>
        <w:tc>
          <w:tcPr>
            <w:tcW w:w="1340" w:type="dxa"/>
            <w:vAlign w:val="bottom"/>
            <w:shd w:val="clear" w:color="auto" w:fill="E9F8FD"/>
          </w:tcPr>
          <w:p>
            <w:pPr>
              <w:spacing w:after="0"/>
              <w:rPr>
                <w:sz w:val="24"/>
                <w:szCs w:val="24"/>
                <w:color w:val="auto"/>
              </w:rPr>
            </w:pPr>
          </w:p>
        </w:tc>
        <w:tc>
          <w:tcPr>
            <w:tcW w:w="1740" w:type="dxa"/>
            <w:vAlign w:val="bottom"/>
            <w:shd w:val="clear" w:color="auto" w:fill="E9F8FD"/>
          </w:tcPr>
          <w:p>
            <w:pPr>
              <w:spacing w:after="0"/>
              <w:rPr>
                <w:sz w:val="24"/>
                <w:szCs w:val="24"/>
                <w:color w:val="auto"/>
              </w:rPr>
            </w:pPr>
          </w:p>
        </w:tc>
        <w:tc>
          <w:tcPr>
            <w:tcW w:w="1280" w:type="dxa"/>
            <w:vAlign w:val="bottom"/>
            <w:shd w:val="clear" w:color="auto" w:fill="E9F8FD"/>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60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death or Disability, or for Good Reason</w:t>
            </w:r>
          </w:p>
        </w:tc>
        <w:tc>
          <w:tcPr>
            <w:tcW w:w="1600" w:type="dxa"/>
            <w:vAlign w:val="bottom"/>
            <w:shd w:val="clear" w:color="auto" w:fill="E9F8FD"/>
          </w:tcPr>
          <w:p>
            <w:pPr>
              <w:jc w:val="right"/>
              <w:ind w:right="301"/>
              <w:spacing w:after="0"/>
              <w:rPr>
                <w:sz w:val="20"/>
                <w:szCs w:val="20"/>
                <w:color w:val="auto"/>
              </w:rPr>
            </w:pPr>
            <w:r>
              <w:rPr>
                <w:rFonts w:ascii="Arial" w:cs="Arial" w:eastAsia="Arial" w:hAnsi="Arial"/>
                <w:sz w:val="16"/>
                <w:szCs w:val="16"/>
                <w:color w:val="42B6E9"/>
              </w:rPr>
              <w:t>151,500</w:t>
            </w:r>
          </w:p>
        </w:tc>
        <w:tc>
          <w:tcPr>
            <w:tcW w:w="1340" w:type="dxa"/>
            <w:vAlign w:val="bottom"/>
            <w:shd w:val="clear" w:color="auto" w:fill="E9F8FD"/>
          </w:tcPr>
          <w:p>
            <w:pPr>
              <w:jc w:val="right"/>
              <w:ind w:right="341"/>
              <w:spacing w:after="0"/>
              <w:rPr>
                <w:sz w:val="20"/>
                <w:szCs w:val="20"/>
                <w:color w:val="auto"/>
              </w:rPr>
            </w:pPr>
            <w:r>
              <w:rPr>
                <w:rFonts w:ascii="Arial" w:cs="Arial" w:eastAsia="Arial" w:hAnsi="Arial"/>
                <w:sz w:val="16"/>
                <w:szCs w:val="16"/>
                <w:color w:val="42B6E9"/>
              </w:rPr>
              <w:t>3,517</w:t>
            </w:r>
          </w:p>
        </w:tc>
        <w:tc>
          <w:tcPr>
            <w:tcW w:w="1740" w:type="dxa"/>
            <w:vAlign w:val="bottom"/>
            <w:shd w:val="clear" w:color="auto" w:fill="E9F8FD"/>
          </w:tcPr>
          <w:p>
            <w:pPr>
              <w:jc w:val="right"/>
              <w:ind w:right="462"/>
              <w:spacing w:after="0"/>
              <w:rPr>
                <w:sz w:val="20"/>
                <w:szCs w:val="20"/>
                <w:color w:val="auto"/>
              </w:rPr>
            </w:pPr>
            <w:r>
              <w:rPr>
                <w:rFonts w:ascii="Arial" w:cs="Arial" w:eastAsia="Arial" w:hAnsi="Arial"/>
                <w:sz w:val="16"/>
                <w:szCs w:val="16"/>
                <w:color w:val="42B6E9"/>
              </w:rPr>
              <w:t>—</w:t>
            </w:r>
          </w:p>
        </w:tc>
        <w:tc>
          <w:tcPr>
            <w:tcW w:w="1280" w:type="dxa"/>
            <w:vAlign w:val="bottom"/>
            <w:shd w:val="clear" w:color="auto" w:fill="E9F8FD"/>
          </w:tcPr>
          <w:p>
            <w:pPr>
              <w:jc w:val="right"/>
              <w:ind w:right="41"/>
              <w:spacing w:after="0"/>
              <w:rPr>
                <w:sz w:val="20"/>
                <w:szCs w:val="20"/>
                <w:color w:val="auto"/>
              </w:rPr>
            </w:pPr>
            <w:r>
              <w:rPr>
                <w:rFonts w:ascii="Arial" w:cs="Arial" w:eastAsia="Arial" w:hAnsi="Arial"/>
                <w:sz w:val="16"/>
                <w:szCs w:val="16"/>
                <w:color w:val="42B6E9"/>
              </w:rPr>
              <w:t>155,017</w:t>
            </w:r>
          </w:p>
        </w:tc>
        <w:tc>
          <w:tcPr>
            <w:tcW w:w="0" w:type="dxa"/>
            <w:vAlign w:val="bottom"/>
          </w:tcPr>
          <w:p>
            <w:pPr>
              <w:spacing w:after="0"/>
              <w:rPr>
                <w:sz w:val="1"/>
                <w:szCs w:val="1"/>
                <w:color w:val="auto"/>
              </w:rPr>
            </w:pPr>
          </w:p>
        </w:tc>
      </w:tr>
      <w:tr>
        <w:trPr>
          <w:trHeight w:val="372"/>
        </w:trPr>
        <w:tc>
          <w:tcPr>
            <w:tcW w:w="360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Change in Control or Termination in</w:t>
            </w:r>
          </w:p>
        </w:tc>
        <w:tc>
          <w:tcPr>
            <w:tcW w:w="1600" w:type="dxa"/>
            <w:vAlign w:val="bottom"/>
            <w:shd w:val="clear" w:color="auto" w:fill="E9F8FD"/>
          </w:tcPr>
          <w:p>
            <w:pPr>
              <w:spacing w:after="0"/>
              <w:rPr>
                <w:sz w:val="24"/>
                <w:szCs w:val="24"/>
                <w:color w:val="auto"/>
              </w:rPr>
            </w:pPr>
          </w:p>
        </w:tc>
        <w:tc>
          <w:tcPr>
            <w:tcW w:w="1340" w:type="dxa"/>
            <w:vAlign w:val="bottom"/>
            <w:shd w:val="clear" w:color="auto" w:fill="E9F8FD"/>
          </w:tcPr>
          <w:p>
            <w:pPr>
              <w:spacing w:after="0"/>
              <w:rPr>
                <w:sz w:val="24"/>
                <w:szCs w:val="24"/>
                <w:color w:val="auto"/>
              </w:rPr>
            </w:pPr>
          </w:p>
        </w:tc>
        <w:tc>
          <w:tcPr>
            <w:tcW w:w="1740" w:type="dxa"/>
            <w:vAlign w:val="bottom"/>
            <w:shd w:val="clear" w:color="auto" w:fill="E9F8FD"/>
          </w:tcPr>
          <w:p>
            <w:pPr>
              <w:spacing w:after="0"/>
              <w:rPr>
                <w:sz w:val="24"/>
                <w:szCs w:val="24"/>
                <w:color w:val="auto"/>
              </w:rPr>
            </w:pPr>
          </w:p>
        </w:tc>
        <w:tc>
          <w:tcPr>
            <w:tcW w:w="1280" w:type="dxa"/>
            <w:vAlign w:val="bottom"/>
            <w:shd w:val="clear" w:color="auto" w:fill="E9F8FD"/>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60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connection with a Change in Control</w:t>
            </w:r>
          </w:p>
        </w:tc>
        <w:tc>
          <w:tcPr>
            <w:tcW w:w="1600" w:type="dxa"/>
            <w:vAlign w:val="bottom"/>
            <w:shd w:val="clear" w:color="auto" w:fill="E9F8FD"/>
          </w:tcPr>
          <w:p>
            <w:pPr>
              <w:jc w:val="right"/>
              <w:ind w:right="301"/>
              <w:spacing w:after="0"/>
              <w:rPr>
                <w:sz w:val="20"/>
                <w:szCs w:val="20"/>
                <w:color w:val="auto"/>
              </w:rPr>
            </w:pPr>
            <w:r>
              <w:rPr>
                <w:rFonts w:ascii="Arial" w:cs="Arial" w:eastAsia="Arial" w:hAnsi="Arial"/>
                <w:sz w:val="16"/>
                <w:szCs w:val="16"/>
                <w:color w:val="42B6E9"/>
              </w:rPr>
              <w:t>303,000</w:t>
            </w:r>
          </w:p>
        </w:tc>
        <w:tc>
          <w:tcPr>
            <w:tcW w:w="1340" w:type="dxa"/>
            <w:vAlign w:val="bottom"/>
            <w:shd w:val="clear" w:color="auto" w:fill="E9F8FD"/>
          </w:tcPr>
          <w:p>
            <w:pPr>
              <w:jc w:val="right"/>
              <w:ind w:right="341"/>
              <w:spacing w:after="0"/>
              <w:rPr>
                <w:sz w:val="20"/>
                <w:szCs w:val="20"/>
                <w:color w:val="auto"/>
              </w:rPr>
            </w:pPr>
            <w:r>
              <w:rPr>
                <w:rFonts w:ascii="Arial" w:cs="Arial" w:eastAsia="Arial" w:hAnsi="Arial"/>
                <w:sz w:val="16"/>
                <w:szCs w:val="16"/>
                <w:color w:val="42B6E9"/>
              </w:rPr>
              <w:t>7,034</w:t>
            </w:r>
          </w:p>
        </w:tc>
        <w:tc>
          <w:tcPr>
            <w:tcW w:w="1740" w:type="dxa"/>
            <w:vAlign w:val="bottom"/>
            <w:shd w:val="clear" w:color="auto" w:fill="E9F8FD"/>
          </w:tcPr>
          <w:p>
            <w:pPr>
              <w:jc w:val="center"/>
              <w:ind w:right="22"/>
              <w:spacing w:after="0"/>
              <w:rPr>
                <w:sz w:val="20"/>
                <w:szCs w:val="20"/>
                <w:color w:val="auto"/>
              </w:rPr>
            </w:pPr>
            <w:r>
              <w:rPr>
                <w:rFonts w:ascii="Arial" w:cs="Arial" w:eastAsia="Arial" w:hAnsi="Arial"/>
                <w:sz w:val="16"/>
                <w:szCs w:val="16"/>
                <w:color w:val="42B6E9"/>
              </w:rPr>
              <w:t>3,496,043</w:t>
            </w:r>
          </w:p>
        </w:tc>
        <w:tc>
          <w:tcPr>
            <w:tcW w:w="1280" w:type="dxa"/>
            <w:vAlign w:val="bottom"/>
            <w:shd w:val="clear" w:color="auto" w:fill="E9F8FD"/>
          </w:tcPr>
          <w:p>
            <w:pPr>
              <w:jc w:val="right"/>
              <w:ind w:right="41"/>
              <w:spacing w:after="0"/>
              <w:rPr>
                <w:sz w:val="20"/>
                <w:szCs w:val="20"/>
                <w:color w:val="auto"/>
              </w:rPr>
            </w:pPr>
            <w:r>
              <w:rPr>
                <w:rFonts w:ascii="Arial" w:cs="Arial" w:eastAsia="Arial" w:hAnsi="Arial"/>
                <w:sz w:val="16"/>
                <w:szCs w:val="16"/>
                <w:color w:val="42B6E9"/>
              </w:rPr>
              <w:t>3,806,077</w:t>
            </w:r>
          </w:p>
        </w:tc>
        <w:tc>
          <w:tcPr>
            <w:tcW w:w="0" w:type="dxa"/>
            <w:vAlign w:val="bottom"/>
          </w:tcPr>
          <w:p>
            <w:pPr>
              <w:spacing w:after="0"/>
              <w:rPr>
                <w:sz w:val="1"/>
                <w:szCs w:val="1"/>
                <w:color w:val="auto"/>
              </w:rPr>
            </w:pPr>
          </w:p>
        </w:tc>
      </w:tr>
      <w:tr>
        <w:trPr>
          <w:trHeight w:val="60"/>
        </w:trPr>
        <w:tc>
          <w:tcPr>
            <w:tcW w:w="3600" w:type="dxa"/>
            <w:vAlign w:val="bottom"/>
            <w:shd w:val="clear" w:color="auto" w:fill="E9F8FD"/>
          </w:tcPr>
          <w:p>
            <w:pPr>
              <w:spacing w:after="0"/>
              <w:rPr>
                <w:sz w:val="5"/>
                <w:szCs w:val="5"/>
                <w:color w:val="auto"/>
              </w:rPr>
            </w:pPr>
          </w:p>
        </w:tc>
        <w:tc>
          <w:tcPr>
            <w:tcW w:w="1600" w:type="dxa"/>
            <w:vAlign w:val="bottom"/>
            <w:shd w:val="clear" w:color="auto" w:fill="E9F8FD"/>
          </w:tcPr>
          <w:p>
            <w:pPr>
              <w:spacing w:after="0"/>
              <w:rPr>
                <w:sz w:val="5"/>
                <w:szCs w:val="5"/>
                <w:color w:val="auto"/>
              </w:rPr>
            </w:pPr>
          </w:p>
        </w:tc>
        <w:tc>
          <w:tcPr>
            <w:tcW w:w="1340" w:type="dxa"/>
            <w:vAlign w:val="bottom"/>
            <w:shd w:val="clear" w:color="auto" w:fill="E9F8FD"/>
          </w:tcPr>
          <w:p>
            <w:pPr>
              <w:spacing w:after="0"/>
              <w:rPr>
                <w:sz w:val="5"/>
                <w:szCs w:val="5"/>
                <w:color w:val="auto"/>
              </w:rPr>
            </w:pPr>
          </w:p>
        </w:tc>
        <w:tc>
          <w:tcPr>
            <w:tcW w:w="1740" w:type="dxa"/>
            <w:vAlign w:val="bottom"/>
            <w:shd w:val="clear" w:color="auto" w:fill="E9F8FD"/>
          </w:tcPr>
          <w:p>
            <w:pPr>
              <w:spacing w:after="0"/>
              <w:rPr>
                <w:sz w:val="5"/>
                <w:szCs w:val="5"/>
                <w:color w:val="auto"/>
              </w:rPr>
            </w:pPr>
          </w:p>
        </w:tc>
        <w:tc>
          <w:tcPr>
            <w:tcW w:w="1280" w:type="dxa"/>
            <w:vAlign w:val="bottom"/>
            <w:shd w:val="clear" w:color="auto" w:fill="E9F8FD"/>
          </w:tcPr>
          <w:p>
            <w:pPr>
              <w:spacing w:after="0"/>
              <w:rPr>
                <w:sz w:val="5"/>
                <w:szCs w:val="5"/>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960" w:right="860" w:hanging="244"/>
        <w:spacing w:after="0" w:line="193" w:lineRule="auto"/>
        <w:tabs>
          <w:tab w:leader="none" w:pos="960" w:val="left"/>
        </w:tabs>
        <w:numPr>
          <w:ilvl w:val="0"/>
          <w:numId w:val="49"/>
        </w:numPr>
        <w:rPr>
          <w:rFonts w:ascii="Arial" w:cs="Arial" w:eastAsia="Arial" w:hAnsi="Arial"/>
          <w:sz w:val="22"/>
          <w:szCs w:val="22"/>
          <w:color w:val="auto"/>
          <w:vertAlign w:val="superscript"/>
        </w:rPr>
      </w:pPr>
      <w:r>
        <w:rPr>
          <w:rFonts w:ascii="Arial" w:cs="Arial" w:eastAsia="Arial" w:hAnsi="Arial"/>
          <w:sz w:val="14"/>
          <w:szCs w:val="14"/>
          <w:color w:val="auto"/>
        </w:rPr>
        <w:t>The value of accelerated RSUs was determined by multiplying the number of unvested and accelerated RSUs by the closing price of our Class A common stock on December 31, 2020, which was $18.24 per share.</w:t>
      </w:r>
    </w:p>
    <w:p>
      <w:pPr>
        <w:spacing w:after="0" w:line="4" w:lineRule="exact"/>
        <w:rPr>
          <w:rFonts w:ascii="Arial" w:cs="Arial" w:eastAsia="Arial" w:hAnsi="Arial"/>
          <w:sz w:val="22"/>
          <w:szCs w:val="22"/>
          <w:color w:val="auto"/>
          <w:vertAlign w:val="superscript"/>
        </w:rPr>
      </w:pPr>
    </w:p>
    <w:p>
      <w:pPr>
        <w:ind w:left="960" w:right="800" w:hanging="244"/>
        <w:spacing w:after="0" w:line="214" w:lineRule="auto"/>
        <w:tabs>
          <w:tab w:leader="none" w:pos="960" w:val="left"/>
        </w:tabs>
        <w:numPr>
          <w:ilvl w:val="0"/>
          <w:numId w:val="49"/>
        </w:numPr>
        <w:rPr>
          <w:rFonts w:ascii="Arial" w:cs="Arial" w:eastAsia="Arial" w:hAnsi="Arial"/>
          <w:sz w:val="22"/>
          <w:szCs w:val="22"/>
          <w:color w:val="auto"/>
          <w:vertAlign w:val="superscript"/>
        </w:rPr>
      </w:pPr>
      <w:r>
        <w:rPr>
          <w:rFonts w:ascii="Arial" w:cs="Arial" w:eastAsia="Arial" w:hAnsi="Arial"/>
          <w:sz w:val="14"/>
          <w:szCs w:val="14"/>
          <w:color w:val="auto"/>
        </w:rPr>
        <w:t>Reflects full vesting of Mr. Szulczewski’s RSUs other than his performance-based RSU award granted on December 7, 2020, which we refer to as the “CEO Performance Award.” If a change in control and termination of Mr. Szulczewski’s employment had occurred on December 31, 2020, none of the RSUs subject to the CEO Performance Award would have been eligible for accelerated vesting, as our closing price of $18.24 on December 31, 2020 was below the lowest stock price target of $46 required for any portion of the award to vest (or accelerate).</w:t>
      </w:r>
    </w:p>
    <w:p>
      <w:pPr>
        <w:spacing w:after="0" w:line="5" w:lineRule="exact"/>
        <w:rPr>
          <w:rFonts w:ascii="Arial" w:cs="Arial" w:eastAsia="Arial" w:hAnsi="Arial"/>
          <w:sz w:val="22"/>
          <w:szCs w:val="22"/>
          <w:color w:val="auto"/>
          <w:vertAlign w:val="superscript"/>
        </w:rPr>
      </w:pPr>
    </w:p>
    <w:p>
      <w:pPr>
        <w:ind w:left="960" w:right="780" w:hanging="244"/>
        <w:spacing w:after="0" w:line="193" w:lineRule="auto"/>
        <w:tabs>
          <w:tab w:leader="none" w:pos="960" w:val="left"/>
        </w:tabs>
        <w:numPr>
          <w:ilvl w:val="0"/>
          <w:numId w:val="49"/>
        </w:numPr>
        <w:rPr>
          <w:rFonts w:ascii="Arial" w:cs="Arial" w:eastAsia="Arial" w:hAnsi="Arial"/>
          <w:sz w:val="22"/>
          <w:szCs w:val="22"/>
          <w:color w:val="auto"/>
          <w:vertAlign w:val="superscript"/>
        </w:rPr>
      </w:pPr>
      <w:r>
        <w:rPr>
          <w:rFonts w:ascii="Arial" w:cs="Arial" w:eastAsia="Arial" w:hAnsi="Arial"/>
          <w:sz w:val="14"/>
          <w:szCs w:val="14"/>
          <w:color w:val="auto"/>
        </w:rPr>
        <w:t>Mr. Bahri is entitled to receive 100% accelerated vesting of his outstanding RSUs if we are subject to a sale event while he is providing services to us, no termination of employment is required.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060"/>
              <w:spacing w:after="0"/>
              <w:rPr>
                <w:sz w:val="20"/>
                <w:szCs w:val="20"/>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31</w:t>
            </w:r>
          </w:p>
        </w:tc>
      </w:tr>
      <w:tr>
        <w:trPr>
          <w:trHeight w:val="181"/>
        </w:trPr>
        <w:tc>
          <w:tcPr>
            <w:tcW w:w="99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36" w:name="page37"/>
    <w:bookmarkEnd w:id="36"/>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42B6E9"/>
        </w:rPr>
        <w:t>DIRECTOR COMPENSATION</w:t>
      </w:r>
    </w:p>
    <w:p>
      <w:pPr>
        <w:spacing w:after="0" w:line="170" w:lineRule="exact"/>
        <w:rPr>
          <w:sz w:val="20"/>
          <w:szCs w:val="20"/>
          <w:color w:val="auto"/>
        </w:rPr>
      </w:pPr>
    </w:p>
    <w:p>
      <w:pPr>
        <w:ind w:left="4" w:right="20"/>
        <w:spacing w:after="0" w:line="251" w:lineRule="auto"/>
        <w:rPr>
          <w:sz w:val="20"/>
          <w:szCs w:val="20"/>
          <w:color w:val="auto"/>
        </w:rPr>
      </w:pPr>
      <w:r>
        <w:rPr>
          <w:rFonts w:ascii="Arial" w:cs="Arial" w:eastAsia="Arial" w:hAnsi="Arial"/>
          <w:sz w:val="16"/>
          <w:szCs w:val="16"/>
          <w:color w:val="auto"/>
        </w:rPr>
        <w:t>Prior to our initial public offering in December 2020, we did not have a policy with respect to compensation payable to our non-employee directors for service as directors; however, we adopted a non-employee director compensation policy in connection with our initial public offering, as further described below. The table below shows the total compensation that we paid to our non-employee directors who received compensation during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92710</wp:posOffset>
            </wp:positionV>
            <wp:extent cx="6077585" cy="1045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77585" cy="1045845"/>
                    </a:xfrm>
                    <a:prstGeom prst="rect">
                      <a:avLst/>
                    </a:prstGeom>
                    <a:noFill/>
                  </pic:spPr>
                </pic:pic>
              </a:graphicData>
            </a:graphic>
          </wp:anchor>
        </w:drawing>
      </w:r>
    </w:p>
    <w:p>
      <w:pPr>
        <w:spacing w:after="0" w:line="126" w:lineRule="exact"/>
        <w:rPr>
          <w:sz w:val="20"/>
          <w:szCs w:val="20"/>
          <w:color w:val="auto"/>
        </w:rPr>
      </w:pPr>
    </w:p>
    <w:tbl>
      <w:tblPr>
        <w:tblLayout w:type="fixed"/>
        <w:tblInd w:w="4" w:type="dxa"/>
        <w:tblCellMar>
          <w:top w:w="0" w:type="dxa"/>
          <w:left w:w="0" w:type="dxa"/>
          <w:bottom w:w="0" w:type="dxa"/>
          <w:right w:w="0" w:type="dxa"/>
        </w:tblCellMar>
      </w:tblPr>
      <w:tr>
        <w:trPr>
          <w:trHeight w:val="243"/>
        </w:trPr>
        <w:tc>
          <w:tcPr>
            <w:tcW w:w="5140" w:type="dxa"/>
            <w:vAlign w:val="bottom"/>
            <w:shd w:val="clear" w:color="auto" w:fill="42B6E9"/>
          </w:tcPr>
          <w:p>
            <w:pPr>
              <w:spacing w:after="0"/>
              <w:rPr>
                <w:sz w:val="21"/>
                <w:szCs w:val="21"/>
                <w:color w:val="auto"/>
              </w:rPr>
            </w:pPr>
          </w:p>
        </w:tc>
        <w:tc>
          <w:tcPr>
            <w:tcW w:w="1920" w:type="dxa"/>
            <w:vAlign w:val="bottom"/>
            <w:shd w:val="clear" w:color="auto" w:fill="42B6E9"/>
          </w:tcPr>
          <w:p>
            <w:pPr>
              <w:jc w:val="right"/>
              <w:ind w:right="283"/>
              <w:spacing w:after="0"/>
              <w:rPr>
                <w:sz w:val="20"/>
                <w:szCs w:val="20"/>
                <w:color w:val="auto"/>
              </w:rPr>
            </w:pPr>
            <w:r>
              <w:rPr>
                <w:rFonts w:ascii="Arial" w:cs="Arial" w:eastAsia="Arial" w:hAnsi="Arial"/>
                <w:sz w:val="14"/>
                <w:szCs w:val="14"/>
                <w:b w:val="1"/>
                <w:bCs w:val="1"/>
                <w:color w:val="FFFFFF"/>
              </w:rPr>
              <w:t>Stock</w:t>
            </w:r>
          </w:p>
        </w:tc>
        <w:tc>
          <w:tcPr>
            <w:tcW w:w="1340" w:type="dxa"/>
            <w:vAlign w:val="bottom"/>
            <w:shd w:val="clear" w:color="auto" w:fill="42B6E9"/>
          </w:tcPr>
          <w:p>
            <w:pPr>
              <w:jc w:val="right"/>
              <w:ind w:right="303"/>
              <w:spacing w:after="0"/>
              <w:rPr>
                <w:sz w:val="20"/>
                <w:szCs w:val="20"/>
                <w:color w:val="auto"/>
              </w:rPr>
            </w:pPr>
            <w:r>
              <w:rPr>
                <w:rFonts w:ascii="Arial" w:cs="Arial" w:eastAsia="Arial" w:hAnsi="Arial"/>
                <w:sz w:val="14"/>
                <w:szCs w:val="14"/>
                <w:b w:val="1"/>
                <w:bCs w:val="1"/>
                <w:color w:val="FFFFFF"/>
              </w:rPr>
              <w:t>Option</w:t>
            </w:r>
          </w:p>
        </w:tc>
        <w:tc>
          <w:tcPr>
            <w:tcW w:w="1160" w:type="dxa"/>
            <w:vAlign w:val="bottom"/>
            <w:shd w:val="clear" w:color="auto" w:fill="42B6E9"/>
          </w:tcPr>
          <w:p>
            <w:pPr>
              <w:spacing w:after="0"/>
              <w:rPr>
                <w:sz w:val="21"/>
                <w:szCs w:val="21"/>
                <w:color w:val="auto"/>
              </w:rPr>
            </w:pPr>
          </w:p>
        </w:tc>
      </w:tr>
      <w:tr>
        <w:trPr>
          <w:trHeight w:val="283"/>
        </w:trPr>
        <w:tc>
          <w:tcPr>
            <w:tcW w:w="5140" w:type="dxa"/>
            <w:vAlign w:val="bottom"/>
            <w:shd w:val="clear" w:color="auto" w:fill="42B6E9"/>
          </w:tcPr>
          <w:p>
            <w:pPr>
              <w:ind w:left="60"/>
              <w:spacing w:after="0"/>
              <w:rPr>
                <w:sz w:val="20"/>
                <w:szCs w:val="20"/>
                <w:color w:val="auto"/>
              </w:rPr>
            </w:pPr>
            <w:r>
              <w:rPr>
                <w:rFonts w:ascii="Arial" w:cs="Arial" w:eastAsia="Arial" w:hAnsi="Arial"/>
                <w:sz w:val="14"/>
                <w:szCs w:val="14"/>
                <w:b w:val="1"/>
                <w:bCs w:val="1"/>
                <w:color w:val="FFFFFF"/>
              </w:rPr>
              <w:t>Name</w:t>
            </w:r>
          </w:p>
        </w:tc>
        <w:tc>
          <w:tcPr>
            <w:tcW w:w="1920" w:type="dxa"/>
            <w:vAlign w:val="bottom"/>
            <w:shd w:val="clear" w:color="auto" w:fill="42B6E9"/>
          </w:tcPr>
          <w:p>
            <w:pPr>
              <w:jc w:val="right"/>
              <w:ind w:right="283"/>
              <w:spacing w:after="0"/>
              <w:rPr>
                <w:sz w:val="20"/>
                <w:szCs w:val="20"/>
                <w:color w:val="auto"/>
              </w:rPr>
            </w:pPr>
            <w:r>
              <w:rPr>
                <w:rFonts w:ascii="Arial" w:cs="Arial" w:eastAsia="Arial" w:hAnsi="Arial"/>
                <w:sz w:val="14"/>
                <w:szCs w:val="14"/>
                <w:b w:val="1"/>
                <w:bCs w:val="1"/>
                <w:color w:val="FFFFFF"/>
              </w:rPr>
              <w:t>Awards ($)</w:t>
            </w:r>
            <w:r>
              <w:rPr>
                <w:rFonts w:ascii="Arial" w:cs="Arial" w:eastAsia="Arial" w:hAnsi="Arial"/>
                <w:sz w:val="23"/>
                <w:szCs w:val="23"/>
                <w:b w:val="1"/>
                <w:bCs w:val="1"/>
                <w:color w:val="FFFFFF"/>
                <w:vertAlign w:val="superscript"/>
              </w:rPr>
              <w:t>(1)</w:t>
            </w:r>
          </w:p>
        </w:tc>
        <w:tc>
          <w:tcPr>
            <w:tcW w:w="1340" w:type="dxa"/>
            <w:vAlign w:val="bottom"/>
            <w:shd w:val="clear" w:color="auto" w:fill="42B6E9"/>
          </w:tcPr>
          <w:p>
            <w:pPr>
              <w:jc w:val="right"/>
              <w:ind w:right="263"/>
              <w:spacing w:after="0"/>
              <w:rPr>
                <w:sz w:val="20"/>
                <w:szCs w:val="20"/>
                <w:color w:val="auto"/>
              </w:rPr>
            </w:pPr>
            <w:r>
              <w:rPr>
                <w:rFonts w:ascii="Arial" w:cs="Arial" w:eastAsia="Arial" w:hAnsi="Arial"/>
                <w:sz w:val="14"/>
                <w:szCs w:val="14"/>
                <w:b w:val="1"/>
                <w:bCs w:val="1"/>
                <w:color w:val="FFFFFF"/>
              </w:rPr>
              <w:t>Awards</w:t>
            </w:r>
            <w:r>
              <w:rPr>
                <w:rFonts w:ascii="Arial" w:cs="Arial" w:eastAsia="Arial" w:hAnsi="Arial"/>
                <w:sz w:val="23"/>
                <w:szCs w:val="23"/>
                <w:b w:val="1"/>
                <w:bCs w:val="1"/>
                <w:color w:val="FFFFFF"/>
                <w:vertAlign w:val="superscript"/>
              </w:rPr>
              <w:t>(2)</w:t>
            </w:r>
          </w:p>
        </w:tc>
        <w:tc>
          <w:tcPr>
            <w:tcW w:w="1160" w:type="dxa"/>
            <w:vAlign w:val="bottom"/>
            <w:shd w:val="clear" w:color="auto" w:fill="42B6E9"/>
          </w:tcPr>
          <w:p>
            <w:pPr>
              <w:jc w:val="right"/>
              <w:ind w:right="21"/>
              <w:spacing w:after="0"/>
              <w:rPr>
                <w:sz w:val="20"/>
                <w:szCs w:val="20"/>
                <w:color w:val="auto"/>
              </w:rPr>
            </w:pPr>
            <w:r>
              <w:rPr>
                <w:rFonts w:ascii="Arial" w:cs="Arial" w:eastAsia="Arial" w:hAnsi="Arial"/>
                <w:sz w:val="14"/>
                <w:szCs w:val="14"/>
                <w:b w:val="1"/>
                <w:bCs w:val="1"/>
                <w:color w:val="FFFFFF"/>
              </w:rPr>
              <w:t>Total ($)</w:t>
            </w:r>
          </w:p>
        </w:tc>
      </w:tr>
      <w:tr>
        <w:trPr>
          <w:trHeight w:val="291"/>
        </w:trPr>
        <w:tc>
          <w:tcPr>
            <w:tcW w:w="514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Julie Bradley</w:t>
            </w:r>
          </w:p>
        </w:tc>
        <w:tc>
          <w:tcPr>
            <w:tcW w:w="1920" w:type="dxa"/>
            <w:vAlign w:val="bottom"/>
            <w:shd w:val="clear" w:color="auto" w:fill="E9F8FD"/>
          </w:tcPr>
          <w:p>
            <w:pPr>
              <w:jc w:val="right"/>
              <w:ind w:right="323"/>
              <w:spacing w:after="0"/>
              <w:rPr>
                <w:sz w:val="20"/>
                <w:szCs w:val="20"/>
                <w:color w:val="auto"/>
              </w:rPr>
            </w:pPr>
            <w:r>
              <w:rPr>
                <w:rFonts w:ascii="Arial" w:cs="Arial" w:eastAsia="Arial" w:hAnsi="Arial"/>
                <w:sz w:val="16"/>
                <w:szCs w:val="16"/>
                <w:color w:val="42B6E9"/>
              </w:rPr>
              <w:t>2,594,419</w:t>
            </w:r>
          </w:p>
        </w:tc>
        <w:tc>
          <w:tcPr>
            <w:tcW w:w="1340" w:type="dxa"/>
            <w:vAlign w:val="bottom"/>
            <w:shd w:val="clear" w:color="auto" w:fill="E9F8FD"/>
          </w:tcPr>
          <w:p>
            <w:pPr>
              <w:jc w:val="right"/>
              <w:ind w:right="303"/>
              <w:spacing w:after="0"/>
              <w:rPr>
                <w:sz w:val="20"/>
                <w:szCs w:val="20"/>
                <w:color w:val="auto"/>
              </w:rPr>
            </w:pPr>
            <w:r>
              <w:rPr>
                <w:rFonts w:ascii="Arial" w:cs="Arial" w:eastAsia="Arial" w:hAnsi="Arial"/>
                <w:sz w:val="16"/>
                <w:szCs w:val="16"/>
                <w:color w:val="42B6E9"/>
              </w:rPr>
              <w:t>—</w:t>
            </w:r>
          </w:p>
        </w:tc>
        <w:tc>
          <w:tcPr>
            <w:tcW w:w="1160" w:type="dxa"/>
            <w:vAlign w:val="bottom"/>
            <w:shd w:val="clear" w:color="auto" w:fill="E9F8FD"/>
          </w:tcPr>
          <w:p>
            <w:pPr>
              <w:jc w:val="right"/>
              <w:ind w:right="21"/>
              <w:spacing w:after="0"/>
              <w:rPr>
                <w:sz w:val="20"/>
                <w:szCs w:val="20"/>
                <w:color w:val="auto"/>
              </w:rPr>
            </w:pPr>
            <w:r>
              <w:rPr>
                <w:rFonts w:ascii="Arial" w:cs="Arial" w:eastAsia="Arial" w:hAnsi="Arial"/>
                <w:sz w:val="16"/>
                <w:szCs w:val="16"/>
                <w:color w:val="42B6E9"/>
              </w:rPr>
              <w:t>2,594,419</w:t>
            </w:r>
          </w:p>
        </w:tc>
      </w:tr>
      <w:tr>
        <w:trPr>
          <w:trHeight w:val="378"/>
        </w:trPr>
        <w:tc>
          <w:tcPr>
            <w:tcW w:w="514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Jacqueline Reses</w:t>
            </w:r>
          </w:p>
        </w:tc>
        <w:tc>
          <w:tcPr>
            <w:tcW w:w="1920" w:type="dxa"/>
            <w:vAlign w:val="bottom"/>
            <w:shd w:val="clear" w:color="auto" w:fill="E9F8FD"/>
          </w:tcPr>
          <w:p>
            <w:pPr>
              <w:jc w:val="right"/>
              <w:ind w:right="323"/>
              <w:spacing w:after="0"/>
              <w:rPr>
                <w:sz w:val="20"/>
                <w:szCs w:val="20"/>
                <w:color w:val="auto"/>
              </w:rPr>
            </w:pPr>
            <w:r>
              <w:rPr>
                <w:rFonts w:ascii="Arial" w:cs="Arial" w:eastAsia="Arial" w:hAnsi="Arial"/>
                <w:sz w:val="16"/>
                <w:szCs w:val="16"/>
                <w:color w:val="42B6E9"/>
              </w:rPr>
              <w:t>1,722,205</w:t>
            </w:r>
          </w:p>
        </w:tc>
        <w:tc>
          <w:tcPr>
            <w:tcW w:w="1340" w:type="dxa"/>
            <w:vAlign w:val="bottom"/>
            <w:shd w:val="clear" w:color="auto" w:fill="E9F8FD"/>
          </w:tcPr>
          <w:p>
            <w:pPr>
              <w:jc w:val="right"/>
              <w:ind w:right="303"/>
              <w:spacing w:after="0"/>
              <w:rPr>
                <w:sz w:val="20"/>
                <w:szCs w:val="20"/>
                <w:color w:val="auto"/>
              </w:rPr>
            </w:pPr>
            <w:r>
              <w:rPr>
                <w:rFonts w:ascii="Arial" w:cs="Arial" w:eastAsia="Arial" w:hAnsi="Arial"/>
                <w:sz w:val="16"/>
                <w:szCs w:val="16"/>
                <w:color w:val="42B6E9"/>
              </w:rPr>
              <w:t>—</w:t>
            </w:r>
          </w:p>
        </w:tc>
        <w:tc>
          <w:tcPr>
            <w:tcW w:w="1160" w:type="dxa"/>
            <w:vAlign w:val="bottom"/>
            <w:shd w:val="clear" w:color="auto" w:fill="E9F8FD"/>
          </w:tcPr>
          <w:p>
            <w:pPr>
              <w:jc w:val="right"/>
              <w:ind w:right="21"/>
              <w:spacing w:after="0"/>
              <w:rPr>
                <w:sz w:val="20"/>
                <w:szCs w:val="20"/>
                <w:color w:val="auto"/>
              </w:rPr>
            </w:pPr>
            <w:r>
              <w:rPr>
                <w:rFonts w:ascii="Arial" w:cs="Arial" w:eastAsia="Arial" w:hAnsi="Arial"/>
                <w:sz w:val="16"/>
                <w:szCs w:val="16"/>
                <w:color w:val="42B6E9"/>
              </w:rPr>
              <w:t>1,722,205</w:t>
            </w:r>
          </w:p>
        </w:tc>
      </w:tr>
      <w:tr>
        <w:trPr>
          <w:trHeight w:val="378"/>
        </w:trPr>
        <w:tc>
          <w:tcPr>
            <w:tcW w:w="514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Stephanie Tilenius</w:t>
            </w:r>
          </w:p>
        </w:tc>
        <w:tc>
          <w:tcPr>
            <w:tcW w:w="1920" w:type="dxa"/>
            <w:vAlign w:val="bottom"/>
            <w:shd w:val="clear" w:color="auto" w:fill="E9F8FD"/>
          </w:tcPr>
          <w:p>
            <w:pPr>
              <w:jc w:val="right"/>
              <w:ind w:right="323"/>
              <w:spacing w:after="0"/>
              <w:rPr>
                <w:sz w:val="20"/>
                <w:szCs w:val="20"/>
                <w:color w:val="auto"/>
              </w:rPr>
            </w:pPr>
            <w:r>
              <w:rPr>
                <w:rFonts w:ascii="Arial" w:cs="Arial" w:eastAsia="Arial" w:hAnsi="Arial"/>
                <w:sz w:val="16"/>
                <w:szCs w:val="16"/>
                <w:color w:val="42B6E9"/>
              </w:rPr>
              <w:t>2,616,641</w:t>
            </w:r>
          </w:p>
        </w:tc>
        <w:tc>
          <w:tcPr>
            <w:tcW w:w="1340" w:type="dxa"/>
            <w:vAlign w:val="bottom"/>
            <w:shd w:val="clear" w:color="auto" w:fill="E9F8FD"/>
          </w:tcPr>
          <w:p>
            <w:pPr>
              <w:jc w:val="right"/>
              <w:ind w:right="303"/>
              <w:spacing w:after="0"/>
              <w:rPr>
                <w:sz w:val="20"/>
                <w:szCs w:val="20"/>
                <w:color w:val="auto"/>
              </w:rPr>
            </w:pPr>
            <w:r>
              <w:rPr>
                <w:rFonts w:ascii="Arial" w:cs="Arial" w:eastAsia="Arial" w:hAnsi="Arial"/>
                <w:sz w:val="16"/>
                <w:szCs w:val="16"/>
                <w:color w:val="42B6E9"/>
              </w:rPr>
              <w:t>—</w:t>
            </w:r>
          </w:p>
        </w:tc>
        <w:tc>
          <w:tcPr>
            <w:tcW w:w="1160" w:type="dxa"/>
            <w:vAlign w:val="bottom"/>
            <w:shd w:val="clear" w:color="auto" w:fill="E9F8FD"/>
          </w:tcPr>
          <w:p>
            <w:pPr>
              <w:jc w:val="right"/>
              <w:ind w:right="21"/>
              <w:spacing w:after="0"/>
              <w:rPr>
                <w:sz w:val="20"/>
                <w:szCs w:val="20"/>
                <w:color w:val="auto"/>
              </w:rPr>
            </w:pPr>
            <w:r>
              <w:rPr>
                <w:rFonts w:ascii="Arial" w:cs="Arial" w:eastAsia="Arial" w:hAnsi="Arial"/>
                <w:sz w:val="16"/>
                <w:szCs w:val="16"/>
                <w:color w:val="42B6E9"/>
              </w:rPr>
              <w:t>2,616,641</w:t>
            </w:r>
          </w:p>
        </w:tc>
      </w:tr>
      <w:tr>
        <w:trPr>
          <w:trHeight w:val="60"/>
        </w:trPr>
        <w:tc>
          <w:tcPr>
            <w:tcW w:w="5140" w:type="dxa"/>
            <w:vAlign w:val="bottom"/>
            <w:shd w:val="clear" w:color="auto" w:fill="E9F8FD"/>
          </w:tcPr>
          <w:p>
            <w:pPr>
              <w:spacing w:after="0"/>
              <w:rPr>
                <w:sz w:val="5"/>
                <w:szCs w:val="5"/>
                <w:color w:val="auto"/>
              </w:rPr>
            </w:pPr>
          </w:p>
        </w:tc>
        <w:tc>
          <w:tcPr>
            <w:tcW w:w="1920" w:type="dxa"/>
            <w:vAlign w:val="bottom"/>
            <w:shd w:val="clear" w:color="auto" w:fill="E9F8FD"/>
          </w:tcPr>
          <w:p>
            <w:pPr>
              <w:spacing w:after="0"/>
              <w:rPr>
                <w:sz w:val="5"/>
                <w:szCs w:val="5"/>
                <w:color w:val="auto"/>
              </w:rPr>
            </w:pPr>
          </w:p>
        </w:tc>
        <w:tc>
          <w:tcPr>
            <w:tcW w:w="1340" w:type="dxa"/>
            <w:vAlign w:val="bottom"/>
            <w:shd w:val="clear" w:color="auto" w:fill="E9F8FD"/>
          </w:tcPr>
          <w:p>
            <w:pPr>
              <w:spacing w:after="0"/>
              <w:rPr>
                <w:sz w:val="5"/>
                <w:szCs w:val="5"/>
                <w:color w:val="auto"/>
              </w:rPr>
            </w:pPr>
          </w:p>
        </w:tc>
        <w:tc>
          <w:tcPr>
            <w:tcW w:w="1160" w:type="dxa"/>
            <w:vAlign w:val="bottom"/>
            <w:shd w:val="clear" w:color="auto" w:fill="E9F8FD"/>
          </w:tcPr>
          <w:p>
            <w:pPr>
              <w:spacing w:after="0"/>
              <w:rPr>
                <w:sz w:val="5"/>
                <w:szCs w:val="5"/>
                <w:color w:val="auto"/>
              </w:rPr>
            </w:pPr>
          </w:p>
        </w:tc>
      </w:tr>
    </w:tbl>
    <w:p>
      <w:pPr>
        <w:spacing w:after="0" w:line="99" w:lineRule="exact"/>
        <w:rPr>
          <w:sz w:val="20"/>
          <w:szCs w:val="20"/>
          <w:color w:val="auto"/>
        </w:rPr>
      </w:pPr>
    </w:p>
    <w:p>
      <w:pPr>
        <w:ind w:left="244" w:right="80" w:hanging="244"/>
        <w:spacing w:after="0" w:line="245" w:lineRule="auto"/>
        <w:tabs>
          <w:tab w:leader="none" w:pos="244"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amounts in this column represent the aggregate grant date fair value of stock awards granted to the non-employee director in the applicable fiscal year computed in accordance with FASB ASC Topic 718. See Notes 2 and 10 of the notes to our audited consolidated financial statements included in our Annual Report on Form 10-K for a discussion of the assumptions made by the Company in determining the grant date fair value of its equity awards. As of December 31, 2020, certain of our non-employee directors held outstanding RSUs under which the following number of shares of our common stock are issuable: Ms. Bradley – 111,110; Mr. Emanuel – 75,000; Ms. Reses – 111,110; and Ms. Tilenius – 111,110.</w:t>
      </w:r>
    </w:p>
    <w:p>
      <w:pPr>
        <w:spacing w:after="0" w:line="15" w:lineRule="exact"/>
        <w:rPr>
          <w:rFonts w:ascii="Arial" w:cs="Arial" w:eastAsia="Arial" w:hAnsi="Arial"/>
          <w:sz w:val="14"/>
          <w:szCs w:val="14"/>
          <w:color w:val="auto"/>
        </w:rPr>
      </w:pPr>
    </w:p>
    <w:p>
      <w:pPr>
        <w:ind w:left="244" w:right="300" w:hanging="244"/>
        <w:spacing w:after="0" w:line="258" w:lineRule="auto"/>
        <w:tabs>
          <w:tab w:leader="none" w:pos="244" w:val="left"/>
        </w:tabs>
        <w:numPr>
          <w:ilvl w:val="0"/>
          <w:numId w:val="50"/>
        </w:numPr>
        <w:rPr>
          <w:rFonts w:ascii="Arial" w:cs="Arial" w:eastAsia="Arial" w:hAnsi="Arial"/>
          <w:sz w:val="14"/>
          <w:szCs w:val="14"/>
          <w:color w:val="auto"/>
        </w:rPr>
      </w:pPr>
      <w:r>
        <w:rPr>
          <w:rFonts w:ascii="Arial" w:cs="Arial" w:eastAsia="Arial" w:hAnsi="Arial"/>
          <w:sz w:val="14"/>
          <w:szCs w:val="14"/>
          <w:color w:val="auto"/>
        </w:rPr>
        <w:t>As of December 31, 2020, only one of our non-employee directors, Mr. Lonsdale, held outstanding options to purchase shares of our common stock (for 250,000 shares).</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42B6E9"/>
        </w:rPr>
        <w:t>Non-Employee Director Compensation Policy</w:t>
      </w:r>
    </w:p>
    <w:p>
      <w:pPr>
        <w:spacing w:after="0" w:line="52" w:lineRule="exact"/>
        <w:rPr>
          <w:sz w:val="20"/>
          <w:szCs w:val="20"/>
          <w:color w:val="auto"/>
        </w:rPr>
      </w:pPr>
    </w:p>
    <w:p>
      <w:pPr>
        <w:ind w:left="4" w:right="480"/>
        <w:spacing w:after="0" w:line="260" w:lineRule="auto"/>
        <w:rPr>
          <w:sz w:val="20"/>
          <w:szCs w:val="20"/>
          <w:color w:val="auto"/>
        </w:rPr>
      </w:pPr>
      <w:r>
        <w:rPr>
          <w:rFonts w:ascii="Arial" w:cs="Arial" w:eastAsia="Arial" w:hAnsi="Arial"/>
          <w:sz w:val="16"/>
          <w:szCs w:val="16"/>
          <w:color w:val="auto"/>
        </w:rPr>
        <w:t>Pursuant to the program adopted in connection with our initial public offering in December 2020, each non-employee director is entitled to receive RSUs under our 2020 Plan as follows:</w:t>
      </w:r>
    </w:p>
    <w:p>
      <w:pPr>
        <w:spacing w:after="0" w:line="125" w:lineRule="exact"/>
        <w:rPr>
          <w:sz w:val="20"/>
          <w:szCs w:val="20"/>
          <w:color w:val="auto"/>
        </w:rPr>
      </w:pPr>
    </w:p>
    <w:p>
      <w:pPr>
        <w:ind w:left="4" w:right="20"/>
        <w:spacing w:after="0" w:line="255" w:lineRule="auto"/>
        <w:rPr>
          <w:sz w:val="20"/>
          <w:szCs w:val="20"/>
          <w:color w:val="auto"/>
        </w:rPr>
      </w:pPr>
      <w:r>
        <w:rPr>
          <w:rFonts w:ascii="Arial" w:cs="Arial" w:eastAsia="Arial" w:hAnsi="Arial"/>
          <w:sz w:val="16"/>
          <w:szCs w:val="16"/>
          <w:i w:val="1"/>
          <w:iCs w:val="1"/>
          <w:color w:val="auto"/>
        </w:rPr>
        <w:t xml:space="preserve">Initial Equity Award. </w:t>
      </w:r>
      <w:r>
        <w:rPr>
          <w:rFonts w:ascii="Arial" w:cs="Arial" w:eastAsia="Arial" w:hAnsi="Arial"/>
          <w:sz w:val="16"/>
          <w:szCs w:val="16"/>
          <w:color w:val="auto"/>
        </w:rPr>
        <w:t>Each non-employee director appointed to our Board will be granted RSUs on the date of his or her appointment</w:t>
      </w:r>
      <w:r>
        <w:rPr>
          <w:rFonts w:ascii="Arial" w:cs="Arial" w:eastAsia="Arial" w:hAnsi="Arial"/>
          <w:sz w:val="16"/>
          <w:szCs w:val="16"/>
          <w:i w:val="1"/>
          <w:iCs w:val="1"/>
          <w:color w:val="auto"/>
        </w:rPr>
        <w:t xml:space="preserve"> </w:t>
      </w:r>
      <w:r>
        <w:rPr>
          <w:rFonts w:ascii="Arial" w:cs="Arial" w:eastAsia="Arial" w:hAnsi="Arial"/>
          <w:sz w:val="16"/>
          <w:szCs w:val="16"/>
          <w:color w:val="auto"/>
        </w:rPr>
        <w:t>to our Board having an aggregate value of $440,000 based on the closing price of our Class A common stock on the date of grant. The RSUs will vest with respect to 1/3rd of the total number of RSUs subject to such award on each annual anniversary of the date of grant, in each case, as long as the non-employee director continues to serve on our Board of Directors through such date; provided, however, that vesting will be pro-rated on a monthly basis for a termination of service prior to an annual vesting date.</w:t>
      </w:r>
    </w:p>
    <w:p>
      <w:pPr>
        <w:spacing w:after="0" w:line="130" w:lineRule="exact"/>
        <w:rPr>
          <w:sz w:val="20"/>
          <w:szCs w:val="20"/>
          <w:color w:val="auto"/>
        </w:rPr>
      </w:pPr>
    </w:p>
    <w:p>
      <w:pPr>
        <w:ind w:left="4" w:right="80"/>
        <w:spacing w:after="0" w:line="252" w:lineRule="auto"/>
        <w:rPr>
          <w:sz w:val="20"/>
          <w:szCs w:val="20"/>
          <w:color w:val="auto"/>
        </w:rPr>
      </w:pPr>
      <w:r>
        <w:rPr>
          <w:rFonts w:ascii="Arial" w:cs="Arial" w:eastAsia="Arial" w:hAnsi="Arial"/>
          <w:sz w:val="16"/>
          <w:szCs w:val="16"/>
          <w:i w:val="1"/>
          <w:iCs w:val="1"/>
          <w:color w:val="auto"/>
        </w:rPr>
        <w:t>Annual Equity Award</w:t>
      </w:r>
      <w:r>
        <w:rPr>
          <w:rFonts w:ascii="Arial" w:cs="Arial" w:eastAsia="Arial" w:hAnsi="Arial"/>
          <w:sz w:val="16"/>
          <w:szCs w:val="16"/>
          <w:color w:val="auto"/>
        </w:rPr>
        <w:t>. Following the conclusion of each regular annual meeting of stockholders commencing in 2021, each non-employee director who is serving on our Board on, and will continue to serve on our Board immediately following, the date of the annual meeting will automatically be granted RSUs having an aggregate value of $270,000 based on the closing price of our Class A common stock on the date of grant. The RSUs will vest in full on the earlier of the one-year anniversary of the date of grant or the date of the next regular annual meeting of stockholders, so long as the non-employee director continues to serve on our Board through such date; provided, however, that vesting will be pro-rated on a monthly basis for a termination of service prior to such vesting date.</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Annual Equity Retainers</w:t>
      </w:r>
      <w:r>
        <w:rPr>
          <w:rFonts w:ascii="Arial" w:cs="Arial" w:eastAsia="Arial" w:hAnsi="Arial"/>
          <w:sz w:val="16"/>
          <w:szCs w:val="16"/>
          <w:color w:val="auto"/>
        </w:rPr>
        <w:t>. In addition, our non-employee directors will receive the following additional annual equity retainers: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63500</wp:posOffset>
            </wp:positionV>
            <wp:extent cx="6077585" cy="21088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77585" cy="2108835"/>
                    </a:xfrm>
                    <a:prstGeom prst="rect">
                      <a:avLst/>
                    </a:prstGeom>
                    <a:noFill/>
                  </pic:spPr>
                </pic:pic>
              </a:graphicData>
            </a:graphic>
          </wp:anchor>
        </w:drawing>
      </w:r>
    </w:p>
    <w:p>
      <w:pPr>
        <w:spacing w:after="0" w:line="80"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5220" w:type="dxa"/>
            <w:vAlign w:val="bottom"/>
            <w:shd w:val="clear" w:color="auto" w:fill="42B6E9"/>
          </w:tcPr>
          <w:p>
            <w:pPr>
              <w:spacing w:after="0"/>
              <w:rPr>
                <w:sz w:val="22"/>
                <w:szCs w:val="22"/>
                <w:color w:val="auto"/>
              </w:rPr>
            </w:pPr>
          </w:p>
        </w:tc>
        <w:tc>
          <w:tcPr>
            <w:tcW w:w="4340" w:type="dxa"/>
            <w:vAlign w:val="bottom"/>
            <w:shd w:val="clear" w:color="auto" w:fill="42B6E9"/>
          </w:tcPr>
          <w:p>
            <w:pPr>
              <w:jc w:val="right"/>
              <w:ind w:right="22"/>
              <w:spacing w:after="0"/>
              <w:rPr>
                <w:sz w:val="20"/>
                <w:szCs w:val="20"/>
                <w:color w:val="auto"/>
              </w:rPr>
            </w:pPr>
            <w:r>
              <w:rPr>
                <w:rFonts w:ascii="Arial" w:cs="Arial" w:eastAsia="Arial" w:hAnsi="Arial"/>
                <w:sz w:val="14"/>
                <w:szCs w:val="14"/>
                <w:b w:val="1"/>
                <w:bCs w:val="1"/>
                <w:color w:val="FFFFFF"/>
              </w:rPr>
              <w:t>Equity</w:t>
            </w:r>
          </w:p>
        </w:tc>
      </w:tr>
      <w:tr>
        <w:trPr>
          <w:trHeight w:val="162"/>
        </w:trPr>
        <w:tc>
          <w:tcPr>
            <w:tcW w:w="5220" w:type="dxa"/>
            <w:vAlign w:val="bottom"/>
            <w:shd w:val="clear" w:color="auto" w:fill="42B6E9"/>
          </w:tcPr>
          <w:p>
            <w:pPr>
              <w:spacing w:after="0"/>
              <w:rPr>
                <w:sz w:val="14"/>
                <w:szCs w:val="14"/>
                <w:color w:val="auto"/>
              </w:rPr>
            </w:pPr>
          </w:p>
        </w:tc>
        <w:tc>
          <w:tcPr>
            <w:tcW w:w="4340" w:type="dxa"/>
            <w:vAlign w:val="bottom"/>
            <w:shd w:val="clear" w:color="auto" w:fill="42B6E9"/>
          </w:tcPr>
          <w:p>
            <w:pPr>
              <w:jc w:val="right"/>
              <w:ind w:right="22"/>
              <w:spacing w:after="0"/>
              <w:rPr>
                <w:sz w:val="20"/>
                <w:szCs w:val="20"/>
                <w:color w:val="auto"/>
              </w:rPr>
            </w:pPr>
            <w:r>
              <w:rPr>
                <w:rFonts w:ascii="Arial" w:cs="Arial" w:eastAsia="Arial" w:hAnsi="Arial"/>
                <w:sz w:val="14"/>
                <w:szCs w:val="14"/>
                <w:b w:val="1"/>
                <w:bCs w:val="1"/>
                <w:color w:val="FFFFFF"/>
              </w:rPr>
              <w:t>Retainer</w:t>
            </w:r>
          </w:p>
        </w:tc>
      </w:tr>
      <w:tr>
        <w:trPr>
          <w:trHeight w:val="190"/>
        </w:trPr>
        <w:tc>
          <w:tcPr>
            <w:tcW w:w="5220" w:type="dxa"/>
            <w:vAlign w:val="bottom"/>
            <w:shd w:val="clear" w:color="auto" w:fill="42B6E9"/>
          </w:tcPr>
          <w:p>
            <w:pPr>
              <w:ind w:left="80"/>
              <w:spacing w:after="0"/>
              <w:rPr>
                <w:sz w:val="20"/>
                <w:szCs w:val="20"/>
                <w:color w:val="auto"/>
              </w:rPr>
            </w:pPr>
            <w:r>
              <w:rPr>
                <w:rFonts w:ascii="Arial" w:cs="Arial" w:eastAsia="Arial" w:hAnsi="Arial"/>
                <w:sz w:val="14"/>
                <w:szCs w:val="14"/>
                <w:b w:val="1"/>
                <w:bCs w:val="1"/>
                <w:color w:val="FFFFFF"/>
              </w:rPr>
              <w:t>Position</w:t>
            </w:r>
          </w:p>
        </w:tc>
        <w:tc>
          <w:tcPr>
            <w:tcW w:w="4340" w:type="dxa"/>
            <w:vAlign w:val="bottom"/>
            <w:shd w:val="clear" w:color="auto" w:fill="42B6E9"/>
          </w:tcPr>
          <w:p>
            <w:pPr>
              <w:jc w:val="right"/>
              <w:ind w:right="22"/>
              <w:spacing w:after="0"/>
              <w:rPr>
                <w:sz w:val="20"/>
                <w:szCs w:val="20"/>
                <w:color w:val="auto"/>
              </w:rPr>
            </w:pPr>
            <w:r>
              <w:rPr>
                <w:rFonts w:ascii="Arial" w:cs="Arial" w:eastAsia="Arial" w:hAnsi="Arial"/>
                <w:sz w:val="14"/>
                <w:szCs w:val="14"/>
                <w:b w:val="1"/>
                <w:bCs w:val="1"/>
                <w:color w:val="FFFFFF"/>
              </w:rPr>
              <w:t>Value</w:t>
            </w:r>
          </w:p>
        </w:tc>
      </w:tr>
      <w:tr>
        <w:trPr>
          <w:trHeight w:val="79"/>
        </w:trPr>
        <w:tc>
          <w:tcPr>
            <w:tcW w:w="5220" w:type="dxa"/>
            <w:vAlign w:val="bottom"/>
            <w:shd w:val="clear" w:color="auto" w:fill="42B6E9"/>
          </w:tcPr>
          <w:p>
            <w:pPr>
              <w:spacing w:after="0"/>
              <w:rPr>
                <w:sz w:val="6"/>
                <w:szCs w:val="6"/>
                <w:color w:val="auto"/>
              </w:rPr>
            </w:pPr>
          </w:p>
        </w:tc>
        <w:tc>
          <w:tcPr>
            <w:tcW w:w="4340" w:type="dxa"/>
            <w:vAlign w:val="bottom"/>
            <w:shd w:val="clear" w:color="auto" w:fill="42B6E9"/>
          </w:tcPr>
          <w:p>
            <w:pPr>
              <w:spacing w:after="0"/>
              <w:rPr>
                <w:sz w:val="6"/>
                <w:szCs w:val="6"/>
                <w:color w:val="auto"/>
              </w:rPr>
            </w:pPr>
          </w:p>
        </w:tc>
      </w:tr>
      <w:tr>
        <w:trPr>
          <w:trHeight w:val="291"/>
        </w:trPr>
        <w:tc>
          <w:tcPr>
            <w:tcW w:w="5220" w:type="dxa"/>
            <w:vAlign w:val="bottom"/>
            <w:shd w:val="clear" w:color="auto" w:fill="E9F8FD"/>
          </w:tcPr>
          <w:p>
            <w:pPr>
              <w:ind w:left="80"/>
              <w:spacing w:after="0"/>
              <w:rPr>
                <w:sz w:val="20"/>
                <w:szCs w:val="20"/>
                <w:color w:val="auto"/>
              </w:rPr>
            </w:pPr>
            <w:r>
              <w:rPr>
                <w:rFonts w:ascii="Arial" w:cs="Arial" w:eastAsia="Arial" w:hAnsi="Arial"/>
                <w:sz w:val="16"/>
                <w:szCs w:val="16"/>
                <w:color w:val="42B6E9"/>
              </w:rPr>
              <w:t>Lead Independent Director</w:t>
            </w:r>
          </w:p>
        </w:tc>
        <w:tc>
          <w:tcPr>
            <w:tcW w:w="4340" w:type="dxa"/>
            <w:vAlign w:val="bottom"/>
            <w:shd w:val="clear" w:color="auto" w:fill="E9F8FD"/>
          </w:tcPr>
          <w:p>
            <w:pPr>
              <w:ind w:left="3640"/>
              <w:spacing w:after="0"/>
              <w:rPr>
                <w:sz w:val="20"/>
                <w:szCs w:val="20"/>
                <w:color w:val="auto"/>
              </w:rPr>
            </w:pPr>
            <w:r>
              <w:rPr>
                <w:rFonts w:ascii="Arial" w:cs="Arial" w:eastAsia="Arial" w:hAnsi="Arial"/>
                <w:sz w:val="16"/>
                <w:szCs w:val="16"/>
                <w:color w:val="42B6E9"/>
              </w:rPr>
              <w:t>$20,000</w:t>
            </w:r>
          </w:p>
        </w:tc>
      </w:tr>
      <w:tr>
        <w:trPr>
          <w:trHeight w:val="378"/>
        </w:trPr>
        <w:tc>
          <w:tcPr>
            <w:tcW w:w="5220" w:type="dxa"/>
            <w:vAlign w:val="bottom"/>
            <w:shd w:val="clear" w:color="auto" w:fill="E9F8FD"/>
          </w:tcPr>
          <w:p>
            <w:pPr>
              <w:ind w:left="80"/>
              <w:spacing w:after="0"/>
              <w:rPr>
                <w:sz w:val="20"/>
                <w:szCs w:val="20"/>
                <w:color w:val="auto"/>
              </w:rPr>
            </w:pPr>
            <w:r>
              <w:rPr>
                <w:rFonts w:ascii="Arial" w:cs="Arial" w:eastAsia="Arial" w:hAnsi="Arial"/>
                <w:sz w:val="16"/>
                <w:szCs w:val="16"/>
                <w:color w:val="42B6E9"/>
              </w:rPr>
              <w:t>Audit Committee Chair</w:t>
            </w:r>
          </w:p>
        </w:tc>
        <w:tc>
          <w:tcPr>
            <w:tcW w:w="4340" w:type="dxa"/>
            <w:vAlign w:val="bottom"/>
            <w:shd w:val="clear" w:color="auto" w:fill="E9F8FD"/>
          </w:tcPr>
          <w:p>
            <w:pPr>
              <w:ind w:left="3640"/>
              <w:spacing w:after="0"/>
              <w:rPr>
                <w:sz w:val="20"/>
                <w:szCs w:val="20"/>
                <w:color w:val="auto"/>
              </w:rPr>
            </w:pPr>
            <w:r>
              <w:rPr>
                <w:rFonts w:ascii="Arial" w:cs="Arial" w:eastAsia="Arial" w:hAnsi="Arial"/>
                <w:sz w:val="16"/>
                <w:szCs w:val="16"/>
                <w:color w:val="42B6E9"/>
              </w:rPr>
              <w:t>$20,000</w:t>
            </w:r>
          </w:p>
        </w:tc>
      </w:tr>
      <w:tr>
        <w:trPr>
          <w:trHeight w:val="378"/>
        </w:trPr>
        <w:tc>
          <w:tcPr>
            <w:tcW w:w="5220" w:type="dxa"/>
            <w:vAlign w:val="bottom"/>
            <w:shd w:val="clear" w:color="auto" w:fill="E9F8FD"/>
          </w:tcPr>
          <w:p>
            <w:pPr>
              <w:ind w:left="80"/>
              <w:spacing w:after="0"/>
              <w:rPr>
                <w:sz w:val="20"/>
                <w:szCs w:val="20"/>
                <w:color w:val="auto"/>
              </w:rPr>
            </w:pPr>
            <w:r>
              <w:rPr>
                <w:rFonts w:ascii="Arial" w:cs="Arial" w:eastAsia="Arial" w:hAnsi="Arial"/>
                <w:sz w:val="16"/>
                <w:szCs w:val="16"/>
                <w:color w:val="42B6E9"/>
              </w:rPr>
              <w:t>Compensation Committee Chair</w:t>
            </w:r>
          </w:p>
        </w:tc>
        <w:tc>
          <w:tcPr>
            <w:tcW w:w="4340" w:type="dxa"/>
            <w:vAlign w:val="bottom"/>
            <w:shd w:val="clear" w:color="auto" w:fill="E9F8FD"/>
          </w:tcPr>
          <w:p>
            <w:pPr>
              <w:ind w:left="3640"/>
              <w:spacing w:after="0"/>
              <w:rPr>
                <w:sz w:val="20"/>
                <w:szCs w:val="20"/>
                <w:color w:val="auto"/>
              </w:rPr>
            </w:pPr>
            <w:r>
              <w:rPr>
                <w:rFonts w:ascii="Arial" w:cs="Arial" w:eastAsia="Arial" w:hAnsi="Arial"/>
                <w:sz w:val="16"/>
                <w:szCs w:val="16"/>
                <w:color w:val="42B6E9"/>
              </w:rPr>
              <w:t>$15,000</w:t>
            </w:r>
          </w:p>
        </w:tc>
      </w:tr>
      <w:tr>
        <w:trPr>
          <w:trHeight w:val="378"/>
        </w:trPr>
        <w:tc>
          <w:tcPr>
            <w:tcW w:w="5220" w:type="dxa"/>
            <w:vAlign w:val="bottom"/>
            <w:shd w:val="clear" w:color="auto" w:fill="E9F8FD"/>
          </w:tcPr>
          <w:p>
            <w:pPr>
              <w:ind w:left="80"/>
              <w:spacing w:after="0"/>
              <w:rPr>
                <w:sz w:val="20"/>
                <w:szCs w:val="20"/>
                <w:color w:val="auto"/>
              </w:rPr>
            </w:pPr>
            <w:r>
              <w:rPr>
                <w:rFonts w:ascii="Arial" w:cs="Arial" w:eastAsia="Arial" w:hAnsi="Arial"/>
                <w:sz w:val="16"/>
                <w:szCs w:val="16"/>
                <w:color w:val="42B6E9"/>
              </w:rPr>
              <w:t>Nominating/Governance Committee Chair</w:t>
            </w:r>
          </w:p>
        </w:tc>
        <w:tc>
          <w:tcPr>
            <w:tcW w:w="4340" w:type="dxa"/>
            <w:vAlign w:val="bottom"/>
            <w:shd w:val="clear" w:color="auto" w:fill="E9F8FD"/>
          </w:tcPr>
          <w:p>
            <w:pPr>
              <w:ind w:left="3640"/>
              <w:spacing w:after="0"/>
              <w:rPr>
                <w:sz w:val="20"/>
                <w:szCs w:val="20"/>
                <w:color w:val="auto"/>
              </w:rPr>
            </w:pPr>
            <w:r>
              <w:rPr>
                <w:rFonts w:ascii="Arial" w:cs="Arial" w:eastAsia="Arial" w:hAnsi="Arial"/>
                <w:sz w:val="16"/>
                <w:szCs w:val="16"/>
                <w:color w:val="42B6E9"/>
              </w:rPr>
              <w:t>$10,000</w:t>
            </w:r>
          </w:p>
        </w:tc>
      </w:tr>
      <w:tr>
        <w:trPr>
          <w:trHeight w:val="378"/>
        </w:trPr>
        <w:tc>
          <w:tcPr>
            <w:tcW w:w="5220" w:type="dxa"/>
            <w:vAlign w:val="bottom"/>
            <w:shd w:val="clear" w:color="auto" w:fill="E9F8FD"/>
          </w:tcPr>
          <w:p>
            <w:pPr>
              <w:ind w:left="80"/>
              <w:spacing w:after="0"/>
              <w:rPr>
                <w:sz w:val="20"/>
                <w:szCs w:val="20"/>
                <w:color w:val="auto"/>
              </w:rPr>
            </w:pPr>
            <w:r>
              <w:rPr>
                <w:rFonts w:ascii="Arial" w:cs="Arial" w:eastAsia="Arial" w:hAnsi="Arial"/>
                <w:sz w:val="16"/>
                <w:szCs w:val="16"/>
                <w:color w:val="42B6E9"/>
              </w:rPr>
              <w:t>Audit Committee Member</w:t>
            </w:r>
          </w:p>
        </w:tc>
        <w:tc>
          <w:tcPr>
            <w:tcW w:w="4340" w:type="dxa"/>
            <w:vAlign w:val="bottom"/>
            <w:shd w:val="clear" w:color="auto" w:fill="E9F8FD"/>
          </w:tcPr>
          <w:p>
            <w:pPr>
              <w:ind w:left="3640"/>
              <w:spacing w:after="0"/>
              <w:rPr>
                <w:sz w:val="20"/>
                <w:szCs w:val="20"/>
                <w:color w:val="auto"/>
              </w:rPr>
            </w:pPr>
            <w:r>
              <w:rPr>
                <w:rFonts w:ascii="Arial" w:cs="Arial" w:eastAsia="Arial" w:hAnsi="Arial"/>
                <w:sz w:val="16"/>
                <w:szCs w:val="16"/>
                <w:color w:val="42B6E9"/>
              </w:rPr>
              <w:t>$10,000</w:t>
            </w:r>
          </w:p>
        </w:tc>
      </w:tr>
      <w:tr>
        <w:trPr>
          <w:trHeight w:val="378"/>
        </w:trPr>
        <w:tc>
          <w:tcPr>
            <w:tcW w:w="5220" w:type="dxa"/>
            <w:vAlign w:val="bottom"/>
            <w:shd w:val="clear" w:color="auto" w:fill="E9F8FD"/>
          </w:tcPr>
          <w:p>
            <w:pPr>
              <w:ind w:left="80"/>
              <w:spacing w:after="0"/>
              <w:rPr>
                <w:sz w:val="20"/>
                <w:szCs w:val="20"/>
                <w:color w:val="auto"/>
              </w:rPr>
            </w:pPr>
            <w:r>
              <w:rPr>
                <w:rFonts w:ascii="Arial" w:cs="Arial" w:eastAsia="Arial" w:hAnsi="Arial"/>
                <w:sz w:val="16"/>
                <w:szCs w:val="16"/>
                <w:color w:val="42B6E9"/>
              </w:rPr>
              <w:t>Compensation Committee Member</w:t>
            </w:r>
          </w:p>
        </w:tc>
        <w:tc>
          <w:tcPr>
            <w:tcW w:w="4340" w:type="dxa"/>
            <w:vAlign w:val="bottom"/>
            <w:shd w:val="clear" w:color="auto" w:fill="E9F8FD"/>
          </w:tcPr>
          <w:p>
            <w:pPr>
              <w:ind w:left="3640"/>
              <w:spacing w:after="0"/>
              <w:rPr>
                <w:sz w:val="20"/>
                <w:szCs w:val="20"/>
                <w:color w:val="auto"/>
              </w:rPr>
            </w:pPr>
            <w:r>
              <w:rPr>
                <w:rFonts w:ascii="Arial" w:cs="Arial" w:eastAsia="Arial" w:hAnsi="Arial"/>
                <w:sz w:val="16"/>
                <w:szCs w:val="16"/>
                <w:color w:val="42B6E9"/>
              </w:rPr>
              <w:t>$ 7,500</w:t>
            </w:r>
          </w:p>
        </w:tc>
      </w:tr>
      <w:tr>
        <w:trPr>
          <w:trHeight w:val="378"/>
        </w:trPr>
        <w:tc>
          <w:tcPr>
            <w:tcW w:w="5220" w:type="dxa"/>
            <w:vAlign w:val="bottom"/>
            <w:shd w:val="clear" w:color="auto" w:fill="E9F8FD"/>
          </w:tcPr>
          <w:p>
            <w:pPr>
              <w:ind w:left="80"/>
              <w:spacing w:after="0"/>
              <w:rPr>
                <w:sz w:val="20"/>
                <w:szCs w:val="20"/>
                <w:color w:val="auto"/>
              </w:rPr>
            </w:pPr>
            <w:r>
              <w:rPr>
                <w:rFonts w:ascii="Arial" w:cs="Arial" w:eastAsia="Arial" w:hAnsi="Arial"/>
                <w:sz w:val="16"/>
                <w:szCs w:val="16"/>
                <w:color w:val="42B6E9"/>
              </w:rPr>
              <w:t>Nominating/Governance Committee Member</w:t>
            </w:r>
          </w:p>
        </w:tc>
        <w:tc>
          <w:tcPr>
            <w:tcW w:w="4340" w:type="dxa"/>
            <w:vAlign w:val="bottom"/>
            <w:shd w:val="clear" w:color="auto" w:fill="E9F8FD"/>
          </w:tcPr>
          <w:p>
            <w:pPr>
              <w:ind w:left="3640"/>
              <w:spacing w:after="0"/>
              <w:rPr>
                <w:sz w:val="20"/>
                <w:szCs w:val="20"/>
                <w:color w:val="auto"/>
              </w:rPr>
            </w:pPr>
            <w:r>
              <w:rPr>
                <w:rFonts w:ascii="Arial" w:cs="Arial" w:eastAsia="Arial" w:hAnsi="Arial"/>
                <w:sz w:val="16"/>
                <w:szCs w:val="16"/>
                <w:color w:val="42B6E9"/>
              </w:rPr>
              <w:t>$ 5,000</w:t>
            </w:r>
          </w:p>
        </w:tc>
      </w:tr>
      <w:tr>
        <w:trPr>
          <w:trHeight w:val="60"/>
        </w:trPr>
        <w:tc>
          <w:tcPr>
            <w:tcW w:w="5220" w:type="dxa"/>
            <w:vAlign w:val="bottom"/>
            <w:shd w:val="clear" w:color="auto" w:fill="E9F8FD"/>
          </w:tcPr>
          <w:p>
            <w:pPr>
              <w:spacing w:after="0"/>
              <w:rPr>
                <w:sz w:val="5"/>
                <w:szCs w:val="5"/>
                <w:color w:val="auto"/>
              </w:rPr>
            </w:pPr>
          </w:p>
        </w:tc>
        <w:tc>
          <w:tcPr>
            <w:tcW w:w="4340" w:type="dxa"/>
            <w:vAlign w:val="bottom"/>
            <w:shd w:val="clear" w:color="auto" w:fill="E9F8FD"/>
          </w:tcPr>
          <w:p>
            <w:pPr>
              <w:spacing w:after="0"/>
              <w:rPr>
                <w:sz w:val="5"/>
                <w:szCs w:val="5"/>
                <w:color w:val="auto"/>
              </w:rPr>
            </w:pPr>
          </w:p>
        </w:tc>
      </w:tr>
    </w:tbl>
    <w:p>
      <w:pPr>
        <w:spacing w:after="0" w:line="177" w:lineRule="exact"/>
        <w:rPr>
          <w:sz w:val="20"/>
          <w:szCs w:val="20"/>
          <w:color w:val="auto"/>
        </w:rPr>
      </w:pPr>
    </w:p>
    <w:p>
      <w:pPr>
        <w:ind w:left="4" w:right="100"/>
        <w:spacing w:after="0" w:line="248" w:lineRule="auto"/>
        <w:rPr>
          <w:sz w:val="20"/>
          <w:szCs w:val="20"/>
          <w:color w:val="auto"/>
        </w:rPr>
      </w:pPr>
      <w:r>
        <w:rPr>
          <w:rFonts w:ascii="Arial" w:cs="Arial" w:eastAsia="Arial" w:hAnsi="Arial"/>
          <w:sz w:val="16"/>
          <w:szCs w:val="16"/>
          <w:color w:val="auto"/>
        </w:rPr>
        <w:t>The equity retainers described in the table above will be granted following the conclusion of each regular annual meeting of stockholders commencing in 2021 to each non-employee director who is serving on our Board on, and will continue to serve on our Board immediately following, the date of the annual meeting, with the number of RSUs determined based on the closing price of our Class A common stock on the date of grant. Each such award will vest in full on the earlier of the one-year anniversary of the date of grant or the date of the next regular annual meeting of stockholders, so long as the non-employee director continues to serve on our Board through such date; provided, however, that vesting will be pro-rated on a monthly basis for a termination of service prior to such vesting date. Non-employee</w:t>
      </w:r>
    </w:p>
    <w:p>
      <w:pPr>
        <w:sectPr>
          <w:pgSz w:w="11900" w:h="16838" w:orient="portrait"/>
          <w:cols w:equalWidth="0" w:num="1">
            <w:col w:w="9564"/>
          </w:cols>
          <w:pgMar w:left="1156" w:top="265" w:right="1179" w:bottom="1440" w:gutter="0" w:footer="0" w:header="0"/>
        </w:sectPr>
      </w:pPr>
    </w:p>
    <w:p>
      <w:pPr>
        <w:spacing w:after="0" w:line="193" w:lineRule="exact"/>
        <w:rPr>
          <w:sz w:val="20"/>
          <w:szCs w:val="20"/>
          <w:color w:val="auto"/>
        </w:rPr>
      </w:pPr>
    </w:p>
    <w:p>
      <w:pPr>
        <w:ind w:left="524" w:hanging="524"/>
        <w:spacing w:after="0"/>
        <w:tabs>
          <w:tab w:leader="none" w:pos="524"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type w:val="continuous"/>
        </w:sectPr>
      </w:pPr>
    </w:p>
    <w:bookmarkStart w:id="37" w:name="page38"/>
    <w:bookmarkEnd w:id="37"/>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42B6E9"/>
        </w:rPr>
        <w:t>DIRECTOR COMPENSATION (continued)</w:t>
      </w:r>
    </w:p>
    <w:p>
      <w:pPr>
        <w:spacing w:after="0" w:line="386" w:lineRule="exact"/>
        <w:rPr>
          <w:sz w:val="20"/>
          <w:szCs w:val="20"/>
          <w:color w:val="auto"/>
        </w:rPr>
      </w:pPr>
    </w:p>
    <w:p>
      <w:pPr>
        <w:ind w:left="720" w:right="980"/>
        <w:spacing w:after="0" w:line="251" w:lineRule="auto"/>
        <w:rPr>
          <w:sz w:val="20"/>
          <w:szCs w:val="20"/>
          <w:color w:val="auto"/>
        </w:rPr>
      </w:pPr>
      <w:r>
        <w:rPr>
          <w:rFonts w:ascii="Arial" w:cs="Arial" w:eastAsia="Arial" w:hAnsi="Arial"/>
          <w:sz w:val="16"/>
          <w:szCs w:val="16"/>
          <w:color w:val="auto"/>
        </w:rPr>
        <w:t>directors who are elected or appointed to our Board other than on the date of a regular annual meeting of our stockholders will be eligible to receive the applicable pro-rated annual equity retainers on the date the non-employee director is elected or appointed to our Board, which will be subject to the same vesting requirements as the annual equity retainers granted to our non-employee directors at the annual meeting of our stockholders.</w:t>
      </w:r>
    </w:p>
    <w:p>
      <w:pPr>
        <w:spacing w:after="0" w:line="148" w:lineRule="exact"/>
        <w:rPr>
          <w:sz w:val="20"/>
          <w:szCs w:val="20"/>
          <w:color w:val="auto"/>
        </w:rPr>
      </w:pPr>
    </w:p>
    <w:p>
      <w:pPr>
        <w:ind w:left="720" w:right="780"/>
        <w:spacing w:after="0" w:line="253" w:lineRule="auto"/>
        <w:rPr>
          <w:sz w:val="20"/>
          <w:szCs w:val="20"/>
          <w:color w:val="auto"/>
        </w:rPr>
      </w:pPr>
      <w:r>
        <w:rPr>
          <w:rFonts w:ascii="Arial" w:cs="Arial" w:eastAsia="Arial" w:hAnsi="Arial"/>
          <w:sz w:val="16"/>
          <w:szCs w:val="16"/>
          <w:color w:val="auto"/>
        </w:rPr>
        <w:t>Non-employee directors will not receive any cash compensation for service on our Board. However, we will continue to reimburse our non-employee directors for their reasonable expenses incurred in connection with attending Board and Committee meetings. Additionally, the equity awards described above will vest in full in the event of a “change in control” (as defined in our 2020 Plan).</w:t>
      </w:r>
    </w:p>
    <w:p>
      <w:pPr>
        <w:spacing w:after="0" w:line="193" w:lineRule="exact"/>
        <w:rPr>
          <w:sz w:val="20"/>
          <w:szCs w:val="20"/>
          <w:color w:val="auto"/>
        </w:rPr>
      </w:pPr>
    </w:p>
    <w:p>
      <w:pPr>
        <w:ind w:left="720" w:right="2900"/>
        <w:spacing w:after="0" w:line="250" w:lineRule="auto"/>
        <w:rPr>
          <w:sz w:val="20"/>
          <w:szCs w:val="20"/>
          <w:color w:val="auto"/>
        </w:rPr>
      </w:pPr>
      <w:r>
        <w:rPr>
          <w:rFonts w:ascii="Arial" w:cs="Arial" w:eastAsia="Arial" w:hAnsi="Arial"/>
          <w:sz w:val="26"/>
          <w:szCs w:val="26"/>
          <w:color w:val="42B6E9"/>
        </w:rPr>
        <w:t>SECURITIES AUTHORIZED FOR ISSUANCE UNDER EQUITY COMPENSATION PLANS</w:t>
      </w:r>
    </w:p>
    <w:p>
      <w:pPr>
        <w:spacing w:after="0" w:line="142" w:lineRule="exact"/>
        <w:rPr>
          <w:sz w:val="20"/>
          <w:szCs w:val="20"/>
          <w:color w:val="auto"/>
        </w:rPr>
      </w:pPr>
    </w:p>
    <w:p>
      <w:pPr>
        <w:ind w:left="720" w:right="1020"/>
        <w:spacing w:after="0" w:line="253" w:lineRule="auto"/>
        <w:rPr>
          <w:sz w:val="20"/>
          <w:szCs w:val="20"/>
          <w:color w:val="auto"/>
        </w:rPr>
      </w:pPr>
      <w:r>
        <w:rPr>
          <w:rFonts w:ascii="Arial" w:cs="Arial" w:eastAsia="Arial" w:hAnsi="Arial"/>
          <w:sz w:val="16"/>
          <w:szCs w:val="16"/>
          <w:color w:val="auto"/>
        </w:rPr>
        <w:t>We have two equity compensation plans under which shares of Common Stock are authorized for issuance to eligible employees, directors, and consultants: (i) the 2010 Stock Plan (“2010 Plan”); and (ii) the 2020 Plan. The following table provides certain information with respect to each of our equity compensation plans in effect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32385</wp:posOffset>
            </wp:positionV>
            <wp:extent cx="6077585" cy="16973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77585" cy="1697355"/>
                    </a:xfrm>
                    <a:prstGeom prst="rect">
                      <a:avLst/>
                    </a:prstGeom>
                    <a:noFill/>
                  </pic:spPr>
                </pic:pic>
              </a:graphicData>
            </a:graphic>
          </wp:anchor>
        </w:drawing>
      </w:r>
    </w:p>
    <w:p>
      <w:pPr>
        <w:spacing w:after="0" w:line="31" w:lineRule="exact"/>
        <w:rPr>
          <w:sz w:val="20"/>
          <w:szCs w:val="20"/>
          <w:color w:val="auto"/>
        </w:rPr>
      </w:pPr>
    </w:p>
    <w:tbl>
      <w:tblPr>
        <w:tblLayout w:type="fixed"/>
        <w:tblInd w:w="720" w:type="dxa"/>
        <w:tblCellMar>
          <w:top w:w="0" w:type="dxa"/>
          <w:left w:w="0" w:type="dxa"/>
          <w:bottom w:w="0" w:type="dxa"/>
          <w:right w:w="0" w:type="dxa"/>
        </w:tblCellMar>
      </w:tblPr>
      <w:tr>
        <w:trPr>
          <w:trHeight w:val="257"/>
        </w:trPr>
        <w:tc>
          <w:tcPr>
            <w:tcW w:w="3060" w:type="dxa"/>
            <w:vAlign w:val="bottom"/>
            <w:shd w:val="clear" w:color="auto" w:fill="42B6E9"/>
          </w:tcPr>
          <w:p>
            <w:pPr>
              <w:spacing w:after="0"/>
              <w:rPr>
                <w:sz w:val="22"/>
                <w:szCs w:val="22"/>
                <w:color w:val="auto"/>
              </w:rPr>
            </w:pPr>
          </w:p>
        </w:tc>
        <w:tc>
          <w:tcPr>
            <w:tcW w:w="2100" w:type="dxa"/>
            <w:vAlign w:val="bottom"/>
            <w:shd w:val="clear" w:color="auto" w:fill="42B6E9"/>
          </w:tcPr>
          <w:p>
            <w:pPr>
              <w:jc w:val="center"/>
              <w:ind w:left="145"/>
              <w:spacing w:after="0"/>
              <w:rPr>
                <w:sz w:val="20"/>
                <w:szCs w:val="20"/>
                <w:color w:val="auto"/>
              </w:rPr>
            </w:pPr>
            <w:r>
              <w:rPr>
                <w:rFonts w:ascii="Arial" w:cs="Arial" w:eastAsia="Arial" w:hAnsi="Arial"/>
                <w:sz w:val="14"/>
                <w:szCs w:val="14"/>
                <w:b w:val="1"/>
                <w:bCs w:val="1"/>
                <w:color w:val="FFFFFF"/>
              </w:rPr>
              <w:t>Number of Securities</w:t>
            </w:r>
          </w:p>
        </w:tc>
        <w:tc>
          <w:tcPr>
            <w:tcW w:w="1880" w:type="dxa"/>
            <w:vAlign w:val="bottom"/>
            <w:shd w:val="clear" w:color="auto" w:fill="42B6E9"/>
          </w:tcPr>
          <w:p>
            <w:pPr>
              <w:spacing w:after="0"/>
              <w:rPr>
                <w:sz w:val="22"/>
                <w:szCs w:val="22"/>
                <w:color w:val="auto"/>
              </w:rPr>
            </w:pPr>
          </w:p>
        </w:tc>
        <w:tc>
          <w:tcPr>
            <w:tcW w:w="2520" w:type="dxa"/>
            <w:vAlign w:val="bottom"/>
            <w:shd w:val="clear" w:color="auto" w:fill="42B6E9"/>
          </w:tcPr>
          <w:p>
            <w:pPr>
              <w:jc w:val="center"/>
              <w:ind w:left="27"/>
              <w:spacing w:after="0"/>
              <w:rPr>
                <w:sz w:val="20"/>
                <w:szCs w:val="20"/>
                <w:color w:val="auto"/>
              </w:rPr>
            </w:pPr>
            <w:r>
              <w:rPr>
                <w:rFonts w:ascii="Arial" w:cs="Arial" w:eastAsia="Arial" w:hAnsi="Arial"/>
                <w:sz w:val="14"/>
                <w:szCs w:val="14"/>
                <w:b w:val="1"/>
                <w:bCs w:val="1"/>
                <w:color w:val="FFFFFF"/>
              </w:rPr>
              <w:t>Number of Securities Remaining</w:t>
            </w:r>
          </w:p>
        </w:tc>
      </w:tr>
      <w:tr>
        <w:trPr>
          <w:trHeight w:val="162"/>
        </w:trPr>
        <w:tc>
          <w:tcPr>
            <w:tcW w:w="3060" w:type="dxa"/>
            <w:vAlign w:val="bottom"/>
            <w:shd w:val="clear" w:color="auto" w:fill="42B6E9"/>
          </w:tcPr>
          <w:p>
            <w:pPr>
              <w:spacing w:after="0"/>
              <w:rPr>
                <w:sz w:val="14"/>
                <w:szCs w:val="14"/>
                <w:color w:val="auto"/>
              </w:rPr>
            </w:pPr>
          </w:p>
        </w:tc>
        <w:tc>
          <w:tcPr>
            <w:tcW w:w="2100" w:type="dxa"/>
            <w:vAlign w:val="bottom"/>
            <w:shd w:val="clear" w:color="auto" w:fill="42B6E9"/>
          </w:tcPr>
          <w:p>
            <w:pPr>
              <w:jc w:val="center"/>
              <w:ind w:left="105"/>
              <w:spacing w:after="0"/>
              <w:rPr>
                <w:sz w:val="20"/>
                <w:szCs w:val="20"/>
                <w:color w:val="auto"/>
              </w:rPr>
            </w:pPr>
            <w:r>
              <w:rPr>
                <w:rFonts w:ascii="Arial" w:cs="Arial" w:eastAsia="Arial" w:hAnsi="Arial"/>
                <w:sz w:val="14"/>
                <w:szCs w:val="14"/>
                <w:b w:val="1"/>
                <w:bCs w:val="1"/>
                <w:color w:val="FFFFFF"/>
              </w:rPr>
              <w:t>to be Issued Upon</w:t>
            </w:r>
          </w:p>
        </w:tc>
        <w:tc>
          <w:tcPr>
            <w:tcW w:w="188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Weighted-Average</w:t>
            </w:r>
          </w:p>
        </w:tc>
        <w:tc>
          <w:tcPr>
            <w:tcW w:w="252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Available for Future Issuance</w:t>
            </w:r>
          </w:p>
        </w:tc>
      </w:tr>
      <w:tr>
        <w:trPr>
          <w:trHeight w:val="162"/>
        </w:trPr>
        <w:tc>
          <w:tcPr>
            <w:tcW w:w="3060" w:type="dxa"/>
            <w:vAlign w:val="bottom"/>
            <w:shd w:val="clear" w:color="auto" w:fill="42B6E9"/>
          </w:tcPr>
          <w:p>
            <w:pPr>
              <w:spacing w:after="0"/>
              <w:rPr>
                <w:sz w:val="14"/>
                <w:szCs w:val="14"/>
                <w:color w:val="auto"/>
              </w:rPr>
            </w:pPr>
          </w:p>
        </w:tc>
        <w:tc>
          <w:tcPr>
            <w:tcW w:w="2100" w:type="dxa"/>
            <w:vAlign w:val="bottom"/>
            <w:shd w:val="clear" w:color="auto" w:fill="42B6E9"/>
          </w:tcPr>
          <w:p>
            <w:pPr>
              <w:jc w:val="center"/>
              <w:ind w:left="105"/>
              <w:spacing w:after="0"/>
              <w:rPr>
                <w:sz w:val="20"/>
                <w:szCs w:val="20"/>
                <w:color w:val="auto"/>
              </w:rPr>
            </w:pPr>
            <w:r>
              <w:rPr>
                <w:rFonts w:ascii="Arial" w:cs="Arial" w:eastAsia="Arial" w:hAnsi="Arial"/>
                <w:sz w:val="14"/>
                <w:szCs w:val="14"/>
                <w:b w:val="1"/>
                <w:bCs w:val="1"/>
                <w:color w:val="FFFFFF"/>
              </w:rPr>
              <w:t>Exercise of</w:t>
            </w:r>
          </w:p>
        </w:tc>
        <w:tc>
          <w:tcPr>
            <w:tcW w:w="188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Exercise Price of</w:t>
            </w:r>
          </w:p>
        </w:tc>
        <w:tc>
          <w:tcPr>
            <w:tcW w:w="252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Under Equity Compensation</w:t>
            </w:r>
          </w:p>
        </w:tc>
      </w:tr>
      <w:tr>
        <w:trPr>
          <w:trHeight w:val="162"/>
        </w:trPr>
        <w:tc>
          <w:tcPr>
            <w:tcW w:w="3060" w:type="dxa"/>
            <w:vAlign w:val="bottom"/>
            <w:shd w:val="clear" w:color="auto" w:fill="42B6E9"/>
          </w:tcPr>
          <w:p>
            <w:pPr>
              <w:spacing w:after="0"/>
              <w:rPr>
                <w:sz w:val="14"/>
                <w:szCs w:val="14"/>
                <w:color w:val="auto"/>
              </w:rPr>
            </w:pPr>
          </w:p>
        </w:tc>
        <w:tc>
          <w:tcPr>
            <w:tcW w:w="2100" w:type="dxa"/>
            <w:vAlign w:val="bottom"/>
            <w:shd w:val="clear" w:color="auto" w:fill="42B6E9"/>
          </w:tcPr>
          <w:p>
            <w:pPr>
              <w:jc w:val="center"/>
              <w:ind w:left="145"/>
              <w:spacing w:after="0"/>
              <w:rPr>
                <w:sz w:val="20"/>
                <w:szCs w:val="20"/>
                <w:color w:val="auto"/>
              </w:rPr>
            </w:pPr>
            <w:r>
              <w:rPr>
                <w:rFonts w:ascii="Arial" w:cs="Arial" w:eastAsia="Arial" w:hAnsi="Arial"/>
                <w:sz w:val="14"/>
                <w:szCs w:val="14"/>
                <w:b w:val="1"/>
                <w:bCs w:val="1"/>
                <w:color w:val="FFFFFF"/>
              </w:rPr>
              <w:t>Outstanding Options,</w:t>
            </w:r>
          </w:p>
        </w:tc>
        <w:tc>
          <w:tcPr>
            <w:tcW w:w="188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Outstanding Options,</w:t>
            </w:r>
          </w:p>
        </w:tc>
        <w:tc>
          <w:tcPr>
            <w:tcW w:w="252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Plans (Excluding Securities</w:t>
            </w:r>
          </w:p>
        </w:tc>
      </w:tr>
      <w:tr>
        <w:trPr>
          <w:trHeight w:val="162"/>
        </w:trPr>
        <w:tc>
          <w:tcPr>
            <w:tcW w:w="3060" w:type="dxa"/>
            <w:vAlign w:val="bottom"/>
            <w:shd w:val="clear" w:color="auto" w:fill="42B6E9"/>
          </w:tcPr>
          <w:p>
            <w:pPr>
              <w:spacing w:after="0"/>
              <w:rPr>
                <w:sz w:val="14"/>
                <w:szCs w:val="14"/>
                <w:color w:val="auto"/>
              </w:rPr>
            </w:pPr>
          </w:p>
        </w:tc>
        <w:tc>
          <w:tcPr>
            <w:tcW w:w="2100" w:type="dxa"/>
            <w:vAlign w:val="bottom"/>
            <w:shd w:val="clear" w:color="auto" w:fill="42B6E9"/>
          </w:tcPr>
          <w:p>
            <w:pPr>
              <w:jc w:val="center"/>
              <w:ind w:left="105"/>
              <w:spacing w:after="0"/>
              <w:rPr>
                <w:sz w:val="20"/>
                <w:szCs w:val="20"/>
                <w:color w:val="auto"/>
              </w:rPr>
            </w:pPr>
            <w:r>
              <w:rPr>
                <w:rFonts w:ascii="Arial" w:cs="Arial" w:eastAsia="Arial" w:hAnsi="Arial"/>
                <w:sz w:val="14"/>
                <w:szCs w:val="14"/>
                <w:b w:val="1"/>
                <w:bCs w:val="1"/>
                <w:color w:val="FFFFFF"/>
              </w:rPr>
              <w:t>Warrants and Rights</w:t>
            </w:r>
          </w:p>
        </w:tc>
        <w:tc>
          <w:tcPr>
            <w:tcW w:w="188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252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Reflected in Column (a))</w:t>
            </w:r>
          </w:p>
        </w:tc>
      </w:tr>
      <w:tr>
        <w:trPr>
          <w:trHeight w:val="190"/>
        </w:trPr>
        <w:tc>
          <w:tcPr>
            <w:tcW w:w="3060" w:type="dxa"/>
            <w:vAlign w:val="bottom"/>
            <w:shd w:val="clear" w:color="auto" w:fill="42B6E9"/>
          </w:tcPr>
          <w:p>
            <w:pPr>
              <w:ind w:left="1080"/>
              <w:spacing w:after="0"/>
              <w:rPr>
                <w:sz w:val="20"/>
                <w:szCs w:val="20"/>
                <w:color w:val="auto"/>
              </w:rPr>
            </w:pPr>
            <w:r>
              <w:rPr>
                <w:rFonts w:ascii="Arial" w:cs="Arial" w:eastAsia="Arial" w:hAnsi="Arial"/>
                <w:sz w:val="14"/>
                <w:szCs w:val="14"/>
                <w:b w:val="1"/>
                <w:bCs w:val="1"/>
                <w:color w:val="FFFFFF"/>
              </w:rPr>
              <w:t>Plan Category</w:t>
            </w:r>
          </w:p>
        </w:tc>
        <w:tc>
          <w:tcPr>
            <w:tcW w:w="2100" w:type="dxa"/>
            <w:vAlign w:val="bottom"/>
            <w:shd w:val="clear" w:color="auto" w:fill="42B6E9"/>
          </w:tcPr>
          <w:p>
            <w:pPr>
              <w:jc w:val="center"/>
              <w:ind w:left="145"/>
              <w:spacing w:after="0"/>
              <w:rPr>
                <w:sz w:val="20"/>
                <w:szCs w:val="20"/>
                <w:color w:val="auto"/>
              </w:rPr>
            </w:pPr>
            <w:r>
              <w:rPr>
                <w:rFonts w:ascii="Arial" w:cs="Arial" w:eastAsia="Arial" w:hAnsi="Arial"/>
                <w:sz w:val="14"/>
                <w:szCs w:val="14"/>
                <w:b w:val="1"/>
                <w:bCs w:val="1"/>
                <w:color w:val="FFFFFF"/>
              </w:rPr>
              <w:t>(a)(1)</w:t>
            </w:r>
          </w:p>
        </w:tc>
        <w:tc>
          <w:tcPr>
            <w:tcW w:w="1880" w:type="dxa"/>
            <w:vAlign w:val="bottom"/>
            <w:shd w:val="clear" w:color="auto" w:fill="42B6E9"/>
          </w:tcPr>
          <w:p>
            <w:pPr>
              <w:jc w:val="center"/>
              <w:spacing w:after="0"/>
              <w:rPr>
                <w:sz w:val="20"/>
                <w:szCs w:val="20"/>
                <w:color w:val="auto"/>
              </w:rPr>
            </w:pPr>
            <w:r>
              <w:rPr>
                <w:rFonts w:ascii="Arial" w:cs="Arial" w:eastAsia="Arial" w:hAnsi="Arial"/>
                <w:sz w:val="14"/>
                <w:szCs w:val="14"/>
                <w:b w:val="1"/>
                <w:bCs w:val="1"/>
                <w:color w:val="FFFFFF"/>
              </w:rPr>
              <w:t>(b)(2)</w:t>
            </w:r>
          </w:p>
        </w:tc>
        <w:tc>
          <w:tcPr>
            <w:tcW w:w="2520" w:type="dxa"/>
            <w:vAlign w:val="bottom"/>
            <w:shd w:val="clear" w:color="auto" w:fill="42B6E9"/>
          </w:tcPr>
          <w:p>
            <w:pPr>
              <w:jc w:val="center"/>
              <w:ind w:left="27"/>
              <w:spacing w:after="0"/>
              <w:rPr>
                <w:sz w:val="20"/>
                <w:szCs w:val="20"/>
                <w:color w:val="auto"/>
              </w:rPr>
            </w:pPr>
            <w:r>
              <w:rPr>
                <w:rFonts w:ascii="Arial" w:cs="Arial" w:eastAsia="Arial" w:hAnsi="Arial"/>
                <w:sz w:val="14"/>
                <w:szCs w:val="14"/>
                <w:b w:val="1"/>
                <w:bCs w:val="1"/>
                <w:color w:val="FFFFFF"/>
                <w:w w:val="99"/>
              </w:rPr>
              <w:t>(c)(1)</w:t>
            </w:r>
          </w:p>
        </w:tc>
      </w:tr>
      <w:tr>
        <w:trPr>
          <w:trHeight w:val="80"/>
        </w:trPr>
        <w:tc>
          <w:tcPr>
            <w:tcW w:w="3060" w:type="dxa"/>
            <w:vAlign w:val="bottom"/>
            <w:shd w:val="clear" w:color="auto" w:fill="42B6E9"/>
          </w:tcPr>
          <w:p>
            <w:pPr>
              <w:spacing w:after="0"/>
              <w:rPr>
                <w:sz w:val="6"/>
                <w:szCs w:val="6"/>
                <w:color w:val="auto"/>
              </w:rPr>
            </w:pPr>
          </w:p>
        </w:tc>
        <w:tc>
          <w:tcPr>
            <w:tcW w:w="2100" w:type="dxa"/>
            <w:vAlign w:val="bottom"/>
            <w:shd w:val="clear" w:color="auto" w:fill="42B6E9"/>
          </w:tcPr>
          <w:p>
            <w:pPr>
              <w:spacing w:after="0"/>
              <w:rPr>
                <w:sz w:val="6"/>
                <w:szCs w:val="6"/>
                <w:color w:val="auto"/>
              </w:rPr>
            </w:pPr>
          </w:p>
        </w:tc>
        <w:tc>
          <w:tcPr>
            <w:tcW w:w="1880" w:type="dxa"/>
            <w:vAlign w:val="bottom"/>
            <w:shd w:val="clear" w:color="auto" w:fill="42B6E9"/>
          </w:tcPr>
          <w:p>
            <w:pPr>
              <w:spacing w:after="0"/>
              <w:rPr>
                <w:sz w:val="6"/>
                <w:szCs w:val="6"/>
                <w:color w:val="auto"/>
              </w:rPr>
            </w:pPr>
          </w:p>
        </w:tc>
        <w:tc>
          <w:tcPr>
            <w:tcW w:w="2520" w:type="dxa"/>
            <w:vAlign w:val="bottom"/>
            <w:shd w:val="clear" w:color="auto" w:fill="42B6E9"/>
          </w:tcPr>
          <w:p>
            <w:pPr>
              <w:spacing w:after="0"/>
              <w:rPr>
                <w:sz w:val="6"/>
                <w:szCs w:val="6"/>
                <w:color w:val="auto"/>
              </w:rPr>
            </w:pPr>
          </w:p>
        </w:tc>
      </w:tr>
      <w:tr>
        <w:trPr>
          <w:trHeight w:val="285"/>
        </w:trPr>
        <w:tc>
          <w:tcPr>
            <w:tcW w:w="3060" w:type="dxa"/>
            <w:vAlign w:val="bottom"/>
            <w:shd w:val="clear" w:color="auto" w:fill="E9F8FD"/>
          </w:tcPr>
          <w:p>
            <w:pPr>
              <w:ind w:left="80"/>
              <w:spacing w:after="0"/>
              <w:rPr>
                <w:sz w:val="20"/>
                <w:szCs w:val="20"/>
                <w:color w:val="auto"/>
              </w:rPr>
            </w:pPr>
            <w:r>
              <w:rPr>
                <w:rFonts w:ascii="Arial" w:cs="Arial" w:eastAsia="Arial" w:hAnsi="Arial"/>
                <w:sz w:val="16"/>
                <w:szCs w:val="16"/>
                <w:color w:val="42B6E9"/>
              </w:rPr>
              <w:t>Equity compensation plans approved by</w:t>
            </w:r>
          </w:p>
        </w:tc>
        <w:tc>
          <w:tcPr>
            <w:tcW w:w="2100" w:type="dxa"/>
            <w:vAlign w:val="bottom"/>
            <w:shd w:val="clear" w:color="auto" w:fill="E9F8FD"/>
          </w:tcPr>
          <w:p>
            <w:pPr>
              <w:spacing w:after="0"/>
              <w:rPr>
                <w:sz w:val="24"/>
                <w:szCs w:val="24"/>
                <w:color w:val="auto"/>
              </w:rPr>
            </w:pPr>
          </w:p>
        </w:tc>
        <w:tc>
          <w:tcPr>
            <w:tcW w:w="1880" w:type="dxa"/>
            <w:vAlign w:val="bottom"/>
            <w:shd w:val="clear" w:color="auto" w:fill="E9F8FD"/>
          </w:tcPr>
          <w:p>
            <w:pPr>
              <w:spacing w:after="0"/>
              <w:rPr>
                <w:sz w:val="24"/>
                <w:szCs w:val="24"/>
                <w:color w:val="auto"/>
              </w:rPr>
            </w:pPr>
          </w:p>
        </w:tc>
        <w:tc>
          <w:tcPr>
            <w:tcW w:w="2520" w:type="dxa"/>
            <w:vAlign w:val="bottom"/>
            <w:shd w:val="clear" w:color="auto" w:fill="E9F8FD"/>
          </w:tcPr>
          <w:p>
            <w:pPr>
              <w:spacing w:after="0"/>
              <w:rPr>
                <w:sz w:val="24"/>
                <w:szCs w:val="24"/>
                <w:color w:val="auto"/>
              </w:rPr>
            </w:pPr>
          </w:p>
        </w:tc>
      </w:tr>
      <w:tr>
        <w:trPr>
          <w:trHeight w:val="195"/>
        </w:trPr>
        <w:tc>
          <w:tcPr>
            <w:tcW w:w="3060" w:type="dxa"/>
            <w:vAlign w:val="bottom"/>
            <w:shd w:val="clear" w:color="auto" w:fill="E9F8FD"/>
          </w:tcPr>
          <w:p>
            <w:pPr>
              <w:ind w:left="80"/>
              <w:spacing w:after="0"/>
              <w:rPr>
                <w:sz w:val="20"/>
                <w:szCs w:val="20"/>
                <w:color w:val="auto"/>
              </w:rPr>
            </w:pPr>
            <w:r>
              <w:rPr>
                <w:rFonts w:ascii="Arial" w:cs="Arial" w:eastAsia="Arial" w:hAnsi="Arial"/>
                <w:sz w:val="16"/>
                <w:szCs w:val="16"/>
                <w:color w:val="42B6E9"/>
              </w:rPr>
              <w:t>stockholders</w:t>
            </w:r>
          </w:p>
        </w:tc>
        <w:tc>
          <w:tcPr>
            <w:tcW w:w="2100" w:type="dxa"/>
            <w:vAlign w:val="bottom"/>
            <w:shd w:val="clear" w:color="auto" w:fill="E9F8FD"/>
          </w:tcPr>
          <w:p>
            <w:pPr>
              <w:jc w:val="right"/>
              <w:ind w:right="145"/>
              <w:spacing w:after="0"/>
              <w:rPr>
                <w:sz w:val="20"/>
                <w:szCs w:val="20"/>
                <w:color w:val="auto"/>
              </w:rPr>
            </w:pPr>
            <w:r>
              <w:rPr>
                <w:rFonts w:ascii="Arial" w:cs="Arial" w:eastAsia="Arial" w:hAnsi="Arial"/>
                <w:sz w:val="16"/>
                <w:szCs w:val="16"/>
                <w:color w:val="42B6E9"/>
              </w:rPr>
              <w:t>134,716,873</w:t>
            </w:r>
          </w:p>
        </w:tc>
        <w:tc>
          <w:tcPr>
            <w:tcW w:w="1880" w:type="dxa"/>
            <w:vAlign w:val="bottom"/>
            <w:shd w:val="clear" w:color="auto" w:fill="E9F8FD"/>
          </w:tcPr>
          <w:p>
            <w:pPr>
              <w:jc w:val="right"/>
              <w:ind w:right="147"/>
              <w:spacing w:after="0"/>
              <w:rPr>
                <w:sz w:val="20"/>
                <w:szCs w:val="20"/>
                <w:color w:val="auto"/>
              </w:rPr>
            </w:pPr>
            <w:r>
              <w:rPr>
                <w:rFonts w:ascii="Arial" w:cs="Arial" w:eastAsia="Arial" w:hAnsi="Arial"/>
                <w:sz w:val="16"/>
                <w:szCs w:val="16"/>
                <w:color w:val="42B6E9"/>
              </w:rPr>
              <w:t>$0.234</w:t>
            </w:r>
          </w:p>
        </w:tc>
        <w:tc>
          <w:tcPr>
            <w:tcW w:w="2520" w:type="dxa"/>
            <w:vAlign w:val="bottom"/>
            <w:shd w:val="clear" w:color="auto" w:fill="E9F8FD"/>
          </w:tcPr>
          <w:p>
            <w:pPr>
              <w:jc w:val="right"/>
              <w:ind w:right="27"/>
              <w:spacing w:after="0"/>
              <w:rPr>
                <w:sz w:val="20"/>
                <w:szCs w:val="20"/>
                <w:color w:val="auto"/>
              </w:rPr>
            </w:pPr>
            <w:r>
              <w:rPr>
                <w:rFonts w:ascii="Arial" w:cs="Arial" w:eastAsia="Arial" w:hAnsi="Arial"/>
                <w:sz w:val="16"/>
                <w:szCs w:val="16"/>
                <w:color w:val="42B6E9"/>
              </w:rPr>
              <w:t>38,271,279</w:t>
            </w:r>
          </w:p>
        </w:tc>
      </w:tr>
      <w:tr>
        <w:trPr>
          <w:trHeight w:val="372"/>
        </w:trPr>
        <w:tc>
          <w:tcPr>
            <w:tcW w:w="3060" w:type="dxa"/>
            <w:vAlign w:val="bottom"/>
            <w:shd w:val="clear" w:color="auto" w:fill="E9F8FD"/>
          </w:tcPr>
          <w:p>
            <w:pPr>
              <w:ind w:left="80"/>
              <w:spacing w:after="0"/>
              <w:rPr>
                <w:sz w:val="20"/>
                <w:szCs w:val="20"/>
                <w:color w:val="auto"/>
              </w:rPr>
            </w:pPr>
            <w:r>
              <w:rPr>
                <w:rFonts w:ascii="Arial" w:cs="Arial" w:eastAsia="Arial" w:hAnsi="Arial"/>
                <w:sz w:val="16"/>
                <w:szCs w:val="16"/>
                <w:color w:val="42B6E9"/>
              </w:rPr>
              <w:t>Equity compensation plans not approved</w:t>
            </w:r>
          </w:p>
        </w:tc>
        <w:tc>
          <w:tcPr>
            <w:tcW w:w="2100" w:type="dxa"/>
            <w:vAlign w:val="bottom"/>
            <w:shd w:val="clear" w:color="auto" w:fill="E9F8FD"/>
          </w:tcPr>
          <w:p>
            <w:pPr>
              <w:spacing w:after="0"/>
              <w:rPr>
                <w:sz w:val="24"/>
                <w:szCs w:val="24"/>
                <w:color w:val="auto"/>
              </w:rPr>
            </w:pPr>
          </w:p>
        </w:tc>
        <w:tc>
          <w:tcPr>
            <w:tcW w:w="1880" w:type="dxa"/>
            <w:vAlign w:val="bottom"/>
            <w:shd w:val="clear" w:color="auto" w:fill="E9F8FD"/>
          </w:tcPr>
          <w:p>
            <w:pPr>
              <w:spacing w:after="0"/>
              <w:rPr>
                <w:sz w:val="24"/>
                <w:szCs w:val="24"/>
                <w:color w:val="auto"/>
              </w:rPr>
            </w:pPr>
          </w:p>
        </w:tc>
        <w:tc>
          <w:tcPr>
            <w:tcW w:w="2520" w:type="dxa"/>
            <w:vAlign w:val="bottom"/>
            <w:shd w:val="clear" w:color="auto" w:fill="E9F8FD"/>
          </w:tcPr>
          <w:p>
            <w:pPr>
              <w:spacing w:after="0"/>
              <w:rPr>
                <w:sz w:val="24"/>
                <w:szCs w:val="24"/>
                <w:color w:val="auto"/>
              </w:rPr>
            </w:pPr>
          </w:p>
        </w:tc>
      </w:tr>
      <w:tr>
        <w:trPr>
          <w:trHeight w:val="195"/>
        </w:trPr>
        <w:tc>
          <w:tcPr>
            <w:tcW w:w="3060" w:type="dxa"/>
            <w:vAlign w:val="bottom"/>
            <w:shd w:val="clear" w:color="auto" w:fill="E9F8FD"/>
          </w:tcPr>
          <w:p>
            <w:pPr>
              <w:ind w:left="80"/>
              <w:spacing w:after="0"/>
              <w:rPr>
                <w:sz w:val="20"/>
                <w:szCs w:val="20"/>
                <w:color w:val="auto"/>
              </w:rPr>
            </w:pPr>
            <w:r>
              <w:rPr>
                <w:rFonts w:ascii="Arial" w:cs="Arial" w:eastAsia="Arial" w:hAnsi="Arial"/>
                <w:sz w:val="16"/>
                <w:szCs w:val="16"/>
                <w:color w:val="42B6E9"/>
              </w:rPr>
              <w:t>by stockholders</w:t>
            </w:r>
          </w:p>
        </w:tc>
        <w:tc>
          <w:tcPr>
            <w:tcW w:w="2100" w:type="dxa"/>
            <w:vAlign w:val="bottom"/>
            <w:shd w:val="clear" w:color="auto" w:fill="E9F8FD"/>
          </w:tcPr>
          <w:p>
            <w:pPr>
              <w:jc w:val="right"/>
              <w:ind w:right="145"/>
              <w:spacing w:after="0"/>
              <w:rPr>
                <w:sz w:val="20"/>
                <w:szCs w:val="20"/>
                <w:color w:val="auto"/>
              </w:rPr>
            </w:pPr>
            <w:r>
              <w:rPr>
                <w:rFonts w:ascii="Arial" w:cs="Arial" w:eastAsia="Arial" w:hAnsi="Arial"/>
                <w:sz w:val="16"/>
                <w:szCs w:val="16"/>
                <w:color w:val="42B6E9"/>
              </w:rPr>
              <w:t>0</w:t>
            </w:r>
          </w:p>
        </w:tc>
        <w:tc>
          <w:tcPr>
            <w:tcW w:w="1880" w:type="dxa"/>
            <w:vAlign w:val="bottom"/>
            <w:shd w:val="clear" w:color="auto" w:fill="E9F8FD"/>
          </w:tcPr>
          <w:p>
            <w:pPr>
              <w:spacing w:after="0"/>
              <w:rPr>
                <w:sz w:val="16"/>
                <w:szCs w:val="16"/>
                <w:color w:val="auto"/>
              </w:rPr>
            </w:pPr>
          </w:p>
        </w:tc>
        <w:tc>
          <w:tcPr>
            <w:tcW w:w="2520" w:type="dxa"/>
            <w:vAlign w:val="bottom"/>
            <w:shd w:val="clear" w:color="auto" w:fill="E9F8FD"/>
          </w:tcPr>
          <w:p>
            <w:pPr>
              <w:spacing w:after="0"/>
              <w:rPr>
                <w:sz w:val="16"/>
                <w:szCs w:val="16"/>
                <w:color w:val="auto"/>
              </w:rPr>
            </w:pPr>
          </w:p>
        </w:tc>
      </w:tr>
      <w:tr>
        <w:trPr>
          <w:trHeight w:val="378"/>
        </w:trPr>
        <w:tc>
          <w:tcPr>
            <w:tcW w:w="3060" w:type="dxa"/>
            <w:vAlign w:val="bottom"/>
            <w:shd w:val="clear" w:color="auto" w:fill="E9F8FD"/>
          </w:tcPr>
          <w:p>
            <w:pPr>
              <w:ind w:left="80"/>
              <w:spacing w:after="0"/>
              <w:rPr>
                <w:sz w:val="20"/>
                <w:szCs w:val="20"/>
                <w:color w:val="auto"/>
              </w:rPr>
            </w:pPr>
            <w:r>
              <w:rPr>
                <w:rFonts w:ascii="Arial" w:cs="Arial" w:eastAsia="Arial" w:hAnsi="Arial"/>
                <w:sz w:val="16"/>
                <w:szCs w:val="16"/>
                <w:color w:val="42B6E9"/>
              </w:rPr>
              <w:t>Total</w:t>
            </w:r>
          </w:p>
        </w:tc>
        <w:tc>
          <w:tcPr>
            <w:tcW w:w="2100" w:type="dxa"/>
            <w:vAlign w:val="bottom"/>
            <w:shd w:val="clear" w:color="auto" w:fill="E9F8FD"/>
          </w:tcPr>
          <w:p>
            <w:pPr>
              <w:jc w:val="right"/>
              <w:ind w:right="145"/>
              <w:spacing w:after="0"/>
              <w:rPr>
                <w:sz w:val="20"/>
                <w:szCs w:val="20"/>
                <w:color w:val="auto"/>
              </w:rPr>
            </w:pPr>
            <w:r>
              <w:rPr>
                <w:rFonts w:ascii="Arial" w:cs="Arial" w:eastAsia="Arial" w:hAnsi="Arial"/>
                <w:sz w:val="16"/>
                <w:szCs w:val="16"/>
                <w:color w:val="42B6E9"/>
              </w:rPr>
              <w:t>134,716,873</w:t>
            </w:r>
          </w:p>
        </w:tc>
        <w:tc>
          <w:tcPr>
            <w:tcW w:w="1880" w:type="dxa"/>
            <w:vAlign w:val="bottom"/>
            <w:shd w:val="clear" w:color="auto" w:fill="E9F8FD"/>
          </w:tcPr>
          <w:p>
            <w:pPr>
              <w:spacing w:after="0"/>
              <w:rPr>
                <w:sz w:val="24"/>
                <w:szCs w:val="24"/>
                <w:color w:val="auto"/>
              </w:rPr>
            </w:pPr>
          </w:p>
        </w:tc>
        <w:tc>
          <w:tcPr>
            <w:tcW w:w="2520" w:type="dxa"/>
            <w:vAlign w:val="bottom"/>
            <w:shd w:val="clear" w:color="auto" w:fill="E9F8FD"/>
          </w:tcPr>
          <w:p>
            <w:pPr>
              <w:spacing w:after="0"/>
              <w:rPr>
                <w:sz w:val="24"/>
                <w:szCs w:val="24"/>
                <w:color w:val="auto"/>
              </w:rPr>
            </w:pPr>
          </w:p>
        </w:tc>
      </w:tr>
      <w:tr>
        <w:trPr>
          <w:trHeight w:val="60"/>
        </w:trPr>
        <w:tc>
          <w:tcPr>
            <w:tcW w:w="3060" w:type="dxa"/>
            <w:vAlign w:val="bottom"/>
            <w:shd w:val="clear" w:color="auto" w:fill="E9F8FD"/>
          </w:tcPr>
          <w:p>
            <w:pPr>
              <w:spacing w:after="0"/>
              <w:rPr>
                <w:sz w:val="5"/>
                <w:szCs w:val="5"/>
                <w:color w:val="auto"/>
              </w:rPr>
            </w:pPr>
          </w:p>
        </w:tc>
        <w:tc>
          <w:tcPr>
            <w:tcW w:w="2100" w:type="dxa"/>
            <w:vAlign w:val="bottom"/>
            <w:shd w:val="clear" w:color="auto" w:fill="E9F8FD"/>
          </w:tcPr>
          <w:p>
            <w:pPr>
              <w:spacing w:after="0"/>
              <w:rPr>
                <w:sz w:val="5"/>
                <w:szCs w:val="5"/>
                <w:color w:val="auto"/>
              </w:rPr>
            </w:pPr>
          </w:p>
        </w:tc>
        <w:tc>
          <w:tcPr>
            <w:tcW w:w="1880" w:type="dxa"/>
            <w:vAlign w:val="bottom"/>
            <w:shd w:val="clear" w:color="auto" w:fill="E9F8FD"/>
          </w:tcPr>
          <w:p>
            <w:pPr>
              <w:spacing w:after="0"/>
              <w:rPr>
                <w:sz w:val="5"/>
                <w:szCs w:val="5"/>
                <w:color w:val="auto"/>
              </w:rPr>
            </w:pPr>
          </w:p>
        </w:tc>
        <w:tc>
          <w:tcPr>
            <w:tcW w:w="2520" w:type="dxa"/>
            <w:vAlign w:val="bottom"/>
            <w:shd w:val="clear" w:color="auto" w:fill="E9F8FD"/>
          </w:tcPr>
          <w:p>
            <w:pPr>
              <w:spacing w:after="0"/>
              <w:rPr>
                <w:sz w:val="5"/>
                <w:szCs w:val="5"/>
                <w:color w:val="auto"/>
              </w:rPr>
            </w:pPr>
          </w:p>
        </w:tc>
      </w:tr>
    </w:tbl>
    <w:p>
      <w:pPr>
        <w:spacing w:after="0" w:line="113" w:lineRule="exact"/>
        <w:rPr>
          <w:sz w:val="20"/>
          <w:szCs w:val="20"/>
          <w:color w:val="auto"/>
        </w:rPr>
      </w:pPr>
    </w:p>
    <w:p>
      <w:pPr>
        <w:ind w:left="960" w:right="880" w:hanging="244"/>
        <w:spacing w:after="0" w:line="207" w:lineRule="auto"/>
        <w:tabs>
          <w:tab w:leader="none" w:pos="960"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Calculated assuming 100% achievement of the CEO Performance Award for which performance targets have not yet been achieved as of December 31, 2020 and including RSUs which vested as of December 31, 2020 upon satisfying both the service and liquidity vesting conditions, but were not settled until February 2021.</w:t>
      </w:r>
    </w:p>
    <w:p>
      <w:pPr>
        <w:spacing w:after="0" w:line="149" w:lineRule="exact"/>
        <w:rPr>
          <w:sz w:val="20"/>
          <w:szCs w:val="20"/>
          <w:color w:val="auto"/>
        </w:rPr>
      </w:pPr>
    </w:p>
    <w:p>
      <w:pPr>
        <w:ind w:left="720" w:right="780"/>
        <w:spacing w:after="0" w:line="248" w:lineRule="auto"/>
        <w:rPr>
          <w:sz w:val="20"/>
          <w:szCs w:val="20"/>
          <w:color w:val="auto"/>
        </w:rPr>
      </w:pPr>
      <w:r>
        <w:rPr>
          <w:rFonts w:ascii="Arial" w:cs="Arial" w:eastAsia="Arial" w:hAnsi="Arial"/>
          <w:sz w:val="16"/>
          <w:szCs w:val="16"/>
          <w:color w:val="auto"/>
        </w:rPr>
        <w:t>In November 2020, our Board of Directors approved the 2020 Plan and in 2010 our stockholders approved the 2010 Plan. The 2020 Plan became effective on November 19, 2020 upon the completion of our initial public offering. The 2020 Plan provides for the grant of incentive and non-statutory stock options, stock appreciation rights, restricted shares of our common stock, restricted stock units, and performance cash awards. The number of shares reserved for issuance under our 2020 Plan will be increased automatically on the first business day of each of our fiscal years, commencing in 2022 and ending in 2030, by a number equal to the lesser of: (a) 5% of the shares of common stock outstanding on the last business day of the prior fiscal year; or (b) the number of shares determined by our Board of Directors. As of December 31, 2020, RSUs covering approximately 111,110 shares of common stock were outstanding under the 2020 Plan.</w:t>
      </w:r>
    </w:p>
    <w:p>
      <w:pPr>
        <w:spacing w:after="0" w:line="153" w:lineRule="exact"/>
        <w:rPr>
          <w:sz w:val="20"/>
          <w:szCs w:val="20"/>
          <w:color w:val="auto"/>
        </w:rPr>
      </w:pPr>
    </w:p>
    <w:p>
      <w:pPr>
        <w:ind w:left="720" w:right="980"/>
        <w:spacing w:after="0" w:line="249" w:lineRule="auto"/>
        <w:rPr>
          <w:sz w:val="20"/>
          <w:szCs w:val="20"/>
          <w:color w:val="auto"/>
        </w:rPr>
      </w:pPr>
      <w:r>
        <w:rPr>
          <w:rFonts w:ascii="Arial" w:cs="Arial" w:eastAsia="Arial" w:hAnsi="Arial"/>
          <w:sz w:val="16"/>
          <w:szCs w:val="16"/>
          <w:color w:val="auto"/>
        </w:rPr>
        <w:t>The 2010 Plan was terminated following the completion of our initial public offering, and no further awards will be made under that plan. Options and RSUs outstanding under the 2010 Plan will continue to be governed by their existing terms. As of December 31, 2020, options to purchase 74,743,650 shares of common stock, RSUs covering 20,149,876 shares of common stock and CEO Performance Award covering 10,021,500 shares of common stock were outstanding under the 2010 Plan. In addition, there were 29,690,737 RSUs which vested upon satisfying both the service and liquidity vesting conditions for the year ended December 31, 2020. The shares remained unreleased as of December 31, 2020 due to the lock up provisions related to our IPO.</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060"/>
              <w:spacing w:after="0"/>
              <w:rPr>
                <w:sz w:val="20"/>
                <w:szCs w:val="20"/>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33</w:t>
            </w:r>
          </w:p>
        </w:tc>
      </w:tr>
      <w:tr>
        <w:trPr>
          <w:trHeight w:val="167"/>
        </w:trPr>
        <w:tc>
          <w:tcPr>
            <w:tcW w:w="9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38" w:name="page39"/>
    <w:bookmarkEnd w:id="38"/>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38" w:lineRule="exact"/>
        <w:rPr>
          <w:sz w:val="20"/>
          <w:szCs w:val="20"/>
          <w:color w:val="auto"/>
        </w:rPr>
      </w:pPr>
    </w:p>
    <w:p>
      <w:pPr>
        <w:ind w:left="4"/>
        <w:spacing w:after="0"/>
        <w:rPr>
          <w:sz w:val="20"/>
          <w:szCs w:val="20"/>
          <w:color w:val="auto"/>
        </w:rPr>
      </w:pPr>
      <w:r>
        <w:rPr>
          <w:rFonts w:ascii="Arial" w:cs="Arial" w:eastAsia="Arial" w:hAnsi="Arial"/>
          <w:sz w:val="32"/>
          <w:szCs w:val="32"/>
          <w:color w:val="42B6E9"/>
        </w:rPr>
        <w:t>INDEPENDENT REGISTERED PUBLIC ACCOUNTING FIRM</w:t>
      </w:r>
    </w:p>
    <w:p>
      <w:pPr>
        <w:spacing w:after="0" w:line="33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42B6E9"/>
        </w:rPr>
        <w:t>AUDIT AND NON-AUDIT FEES</w:t>
      </w:r>
    </w:p>
    <w:p>
      <w:pPr>
        <w:spacing w:after="0" w:line="66" w:lineRule="exact"/>
        <w:rPr>
          <w:sz w:val="20"/>
          <w:szCs w:val="20"/>
          <w:color w:val="auto"/>
        </w:rPr>
      </w:pPr>
    </w:p>
    <w:p>
      <w:pPr>
        <w:ind w:left="4" w:right="20"/>
        <w:spacing w:after="0" w:line="260" w:lineRule="auto"/>
        <w:rPr>
          <w:sz w:val="20"/>
          <w:szCs w:val="20"/>
          <w:color w:val="auto"/>
        </w:rPr>
      </w:pPr>
      <w:r>
        <w:rPr>
          <w:rFonts w:ascii="Arial" w:cs="Arial" w:eastAsia="Arial" w:hAnsi="Arial"/>
          <w:sz w:val="16"/>
          <w:szCs w:val="16"/>
          <w:color w:val="auto"/>
        </w:rPr>
        <w:t>The following table represents aggregate fees billed or to be billed to the Company for the years ended December 31, 2020 and 2019 for professional audit services and other services rendered to us by Ernst &amp; Young LLP, our principal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6077585" cy="15087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77585" cy="1508760"/>
                    </a:xfrm>
                    <a:prstGeom prst="rect">
                      <a:avLst/>
                    </a:prstGeom>
                    <a:noFill/>
                  </pic:spPr>
                </pic:pic>
              </a:graphicData>
            </a:graphic>
          </wp:anchor>
        </w:drawing>
      </w:r>
    </w:p>
    <w:p>
      <w:pPr>
        <w:spacing w:after="0" w:line="25"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6060" w:type="dxa"/>
            <w:vAlign w:val="bottom"/>
            <w:shd w:val="clear" w:color="auto" w:fill="42B6E9"/>
          </w:tcPr>
          <w:p>
            <w:pPr>
              <w:spacing w:after="0"/>
              <w:rPr>
                <w:sz w:val="22"/>
                <w:szCs w:val="22"/>
                <w:color w:val="auto"/>
              </w:rPr>
            </w:pPr>
          </w:p>
        </w:tc>
        <w:tc>
          <w:tcPr>
            <w:tcW w:w="600" w:type="dxa"/>
            <w:vAlign w:val="bottom"/>
            <w:shd w:val="clear" w:color="auto" w:fill="42B6E9"/>
          </w:tcPr>
          <w:p>
            <w:pPr>
              <w:spacing w:after="0"/>
              <w:rPr>
                <w:sz w:val="22"/>
                <w:szCs w:val="22"/>
                <w:color w:val="auto"/>
              </w:rPr>
            </w:pPr>
          </w:p>
        </w:tc>
        <w:tc>
          <w:tcPr>
            <w:tcW w:w="1880" w:type="dxa"/>
            <w:vAlign w:val="bottom"/>
            <w:gridSpan w:val="2"/>
            <w:shd w:val="clear" w:color="auto" w:fill="42B6E9"/>
          </w:tcPr>
          <w:p>
            <w:pPr>
              <w:jc w:val="right"/>
              <w:ind w:right="19"/>
              <w:spacing w:after="0"/>
              <w:rPr>
                <w:sz w:val="20"/>
                <w:szCs w:val="20"/>
                <w:color w:val="auto"/>
              </w:rPr>
            </w:pPr>
            <w:r>
              <w:rPr>
                <w:rFonts w:ascii="Arial" w:cs="Arial" w:eastAsia="Arial" w:hAnsi="Arial"/>
                <w:sz w:val="14"/>
                <w:szCs w:val="14"/>
                <w:b w:val="1"/>
                <w:bCs w:val="1"/>
                <w:color w:val="FFFFFF"/>
              </w:rPr>
              <w:t>Fiscal Year Ended</w:t>
            </w:r>
          </w:p>
        </w:tc>
        <w:tc>
          <w:tcPr>
            <w:tcW w:w="1020" w:type="dxa"/>
            <w:vAlign w:val="bottom"/>
            <w:shd w:val="clear" w:color="auto" w:fill="42B6E9"/>
          </w:tcPr>
          <w:p>
            <w:pPr>
              <w:spacing w:after="0"/>
              <w:rPr>
                <w:sz w:val="22"/>
                <w:szCs w:val="22"/>
                <w:color w:val="auto"/>
              </w:rPr>
            </w:pPr>
          </w:p>
        </w:tc>
      </w:tr>
      <w:tr>
        <w:trPr>
          <w:trHeight w:val="190"/>
        </w:trPr>
        <w:tc>
          <w:tcPr>
            <w:tcW w:w="6060" w:type="dxa"/>
            <w:vAlign w:val="bottom"/>
            <w:shd w:val="clear" w:color="auto" w:fill="42B6E9"/>
          </w:tcPr>
          <w:p>
            <w:pPr>
              <w:spacing w:after="0"/>
              <w:rPr>
                <w:sz w:val="16"/>
                <w:szCs w:val="16"/>
                <w:color w:val="auto"/>
              </w:rPr>
            </w:pPr>
          </w:p>
        </w:tc>
        <w:tc>
          <w:tcPr>
            <w:tcW w:w="600" w:type="dxa"/>
            <w:vAlign w:val="bottom"/>
            <w:shd w:val="clear" w:color="auto" w:fill="42B6E9"/>
          </w:tcPr>
          <w:p>
            <w:pPr>
              <w:spacing w:after="0"/>
              <w:rPr>
                <w:sz w:val="16"/>
                <w:szCs w:val="16"/>
                <w:color w:val="auto"/>
              </w:rPr>
            </w:pPr>
          </w:p>
        </w:tc>
        <w:tc>
          <w:tcPr>
            <w:tcW w:w="1880" w:type="dxa"/>
            <w:vAlign w:val="bottom"/>
            <w:gridSpan w:val="2"/>
            <w:shd w:val="clear" w:color="auto" w:fill="42B6E9"/>
          </w:tcPr>
          <w:p>
            <w:pPr>
              <w:jc w:val="right"/>
              <w:ind w:right="159"/>
              <w:spacing w:after="0"/>
              <w:rPr>
                <w:sz w:val="20"/>
                <w:szCs w:val="20"/>
                <w:color w:val="auto"/>
              </w:rPr>
            </w:pPr>
            <w:r>
              <w:rPr>
                <w:rFonts w:ascii="Arial" w:cs="Arial" w:eastAsia="Arial" w:hAnsi="Arial"/>
                <w:sz w:val="14"/>
                <w:szCs w:val="14"/>
                <w:b w:val="1"/>
                <w:bCs w:val="1"/>
                <w:color w:val="FFFFFF"/>
              </w:rPr>
              <w:t>December 31,</w:t>
            </w:r>
          </w:p>
        </w:tc>
        <w:tc>
          <w:tcPr>
            <w:tcW w:w="1020" w:type="dxa"/>
            <w:vAlign w:val="bottom"/>
            <w:shd w:val="clear" w:color="auto" w:fill="42B6E9"/>
          </w:tcPr>
          <w:p>
            <w:pPr>
              <w:spacing w:after="0"/>
              <w:rPr>
                <w:sz w:val="16"/>
                <w:szCs w:val="16"/>
                <w:color w:val="auto"/>
              </w:rPr>
            </w:pPr>
          </w:p>
        </w:tc>
      </w:tr>
      <w:tr>
        <w:trPr>
          <w:trHeight w:val="351"/>
        </w:trPr>
        <w:tc>
          <w:tcPr>
            <w:tcW w:w="6060" w:type="dxa"/>
            <w:vAlign w:val="bottom"/>
            <w:shd w:val="clear" w:color="auto" w:fill="42B6E9"/>
          </w:tcPr>
          <w:p>
            <w:pPr>
              <w:spacing w:after="0"/>
              <w:rPr>
                <w:sz w:val="24"/>
                <w:szCs w:val="24"/>
                <w:color w:val="auto"/>
              </w:rPr>
            </w:pPr>
          </w:p>
        </w:tc>
        <w:tc>
          <w:tcPr>
            <w:tcW w:w="600" w:type="dxa"/>
            <w:vAlign w:val="bottom"/>
            <w:shd w:val="clear" w:color="auto" w:fill="42B6E9"/>
          </w:tcPr>
          <w:p>
            <w:pPr>
              <w:spacing w:after="0"/>
              <w:rPr>
                <w:sz w:val="24"/>
                <w:szCs w:val="24"/>
                <w:color w:val="auto"/>
              </w:rPr>
            </w:pPr>
          </w:p>
        </w:tc>
        <w:tc>
          <w:tcPr>
            <w:tcW w:w="1180" w:type="dxa"/>
            <w:vAlign w:val="bottom"/>
            <w:shd w:val="clear" w:color="auto" w:fill="42B6E9"/>
          </w:tcPr>
          <w:p>
            <w:pPr>
              <w:jc w:val="right"/>
              <w:ind w:right="3"/>
              <w:spacing w:after="0"/>
              <w:rPr>
                <w:sz w:val="20"/>
                <w:szCs w:val="20"/>
                <w:color w:val="auto"/>
              </w:rPr>
            </w:pPr>
            <w:r>
              <w:rPr>
                <w:rFonts w:ascii="Arial" w:cs="Arial" w:eastAsia="Arial" w:hAnsi="Arial"/>
                <w:sz w:val="14"/>
                <w:szCs w:val="14"/>
                <w:b w:val="1"/>
                <w:bCs w:val="1"/>
                <w:color w:val="FFFFFF"/>
              </w:rPr>
              <w:t>2020</w:t>
            </w:r>
          </w:p>
        </w:tc>
        <w:tc>
          <w:tcPr>
            <w:tcW w:w="700" w:type="dxa"/>
            <w:vAlign w:val="bottom"/>
            <w:shd w:val="clear" w:color="auto" w:fill="42B6E9"/>
          </w:tcPr>
          <w:p>
            <w:pPr>
              <w:spacing w:after="0"/>
              <w:rPr>
                <w:sz w:val="24"/>
                <w:szCs w:val="24"/>
                <w:color w:val="auto"/>
              </w:rPr>
            </w:pPr>
          </w:p>
        </w:tc>
        <w:tc>
          <w:tcPr>
            <w:tcW w:w="1020" w:type="dxa"/>
            <w:vAlign w:val="bottom"/>
            <w:shd w:val="clear" w:color="auto" w:fill="42B6E9"/>
          </w:tcPr>
          <w:p>
            <w:pPr>
              <w:jc w:val="right"/>
              <w:ind w:right="21"/>
              <w:spacing w:after="0"/>
              <w:rPr>
                <w:sz w:val="20"/>
                <w:szCs w:val="20"/>
                <w:color w:val="auto"/>
              </w:rPr>
            </w:pPr>
            <w:r>
              <w:rPr>
                <w:rFonts w:ascii="Arial" w:cs="Arial" w:eastAsia="Arial" w:hAnsi="Arial"/>
                <w:sz w:val="14"/>
                <w:szCs w:val="14"/>
                <w:b w:val="1"/>
                <w:bCs w:val="1"/>
                <w:color w:val="FFFFFF"/>
              </w:rPr>
              <w:t>2019</w:t>
            </w:r>
          </w:p>
        </w:tc>
      </w:tr>
      <w:tr>
        <w:trPr>
          <w:trHeight w:val="80"/>
        </w:trPr>
        <w:tc>
          <w:tcPr>
            <w:tcW w:w="6060" w:type="dxa"/>
            <w:vAlign w:val="bottom"/>
            <w:shd w:val="clear" w:color="auto" w:fill="42B6E9"/>
          </w:tcPr>
          <w:p>
            <w:pPr>
              <w:spacing w:after="0"/>
              <w:rPr>
                <w:sz w:val="6"/>
                <w:szCs w:val="6"/>
                <w:color w:val="auto"/>
              </w:rPr>
            </w:pPr>
          </w:p>
        </w:tc>
        <w:tc>
          <w:tcPr>
            <w:tcW w:w="600" w:type="dxa"/>
            <w:vAlign w:val="bottom"/>
            <w:shd w:val="clear" w:color="auto" w:fill="42B6E9"/>
          </w:tcPr>
          <w:p>
            <w:pPr>
              <w:spacing w:after="0"/>
              <w:rPr>
                <w:sz w:val="6"/>
                <w:szCs w:val="6"/>
                <w:color w:val="auto"/>
              </w:rPr>
            </w:pPr>
          </w:p>
        </w:tc>
        <w:tc>
          <w:tcPr>
            <w:tcW w:w="1180" w:type="dxa"/>
            <w:vAlign w:val="bottom"/>
            <w:shd w:val="clear" w:color="auto" w:fill="42B6E9"/>
          </w:tcPr>
          <w:p>
            <w:pPr>
              <w:spacing w:after="0"/>
              <w:rPr>
                <w:sz w:val="6"/>
                <w:szCs w:val="6"/>
                <w:color w:val="auto"/>
              </w:rPr>
            </w:pPr>
          </w:p>
        </w:tc>
        <w:tc>
          <w:tcPr>
            <w:tcW w:w="700" w:type="dxa"/>
            <w:vAlign w:val="bottom"/>
            <w:shd w:val="clear" w:color="auto" w:fill="42B6E9"/>
          </w:tcPr>
          <w:p>
            <w:pPr>
              <w:spacing w:after="0"/>
              <w:rPr>
                <w:sz w:val="6"/>
                <w:szCs w:val="6"/>
                <w:color w:val="auto"/>
              </w:rPr>
            </w:pPr>
          </w:p>
        </w:tc>
        <w:tc>
          <w:tcPr>
            <w:tcW w:w="1020" w:type="dxa"/>
            <w:vAlign w:val="bottom"/>
            <w:shd w:val="clear" w:color="auto" w:fill="42B6E9"/>
          </w:tcPr>
          <w:p>
            <w:pPr>
              <w:spacing w:after="0"/>
              <w:rPr>
                <w:sz w:val="6"/>
                <w:szCs w:val="6"/>
                <w:color w:val="auto"/>
              </w:rPr>
            </w:pPr>
          </w:p>
        </w:tc>
      </w:tr>
      <w:tr>
        <w:trPr>
          <w:trHeight w:val="378"/>
        </w:trPr>
        <w:tc>
          <w:tcPr>
            <w:tcW w:w="606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Audit Fees</w:t>
            </w:r>
            <w:r>
              <w:rPr>
                <w:rFonts w:ascii="Arial" w:cs="Arial" w:eastAsia="Arial" w:hAnsi="Arial"/>
                <w:sz w:val="26"/>
                <w:szCs w:val="26"/>
                <w:color w:val="42B6E9"/>
                <w:vertAlign w:val="superscript"/>
              </w:rPr>
              <w:t>(1)</w:t>
            </w:r>
          </w:p>
        </w:tc>
        <w:tc>
          <w:tcPr>
            <w:tcW w:w="600" w:type="dxa"/>
            <w:vAlign w:val="bottom"/>
            <w:shd w:val="clear" w:color="auto" w:fill="E9F8FD"/>
          </w:tcPr>
          <w:p>
            <w:pPr>
              <w:jc w:val="right"/>
              <w:ind w:right="259"/>
              <w:spacing w:after="0"/>
              <w:rPr>
                <w:sz w:val="20"/>
                <w:szCs w:val="20"/>
                <w:color w:val="auto"/>
              </w:rPr>
            </w:pPr>
            <w:r>
              <w:rPr>
                <w:rFonts w:ascii="Arial" w:cs="Arial" w:eastAsia="Arial" w:hAnsi="Arial"/>
                <w:sz w:val="16"/>
                <w:szCs w:val="16"/>
                <w:color w:val="42B6E9"/>
              </w:rPr>
              <w:t>$</w:t>
            </w:r>
          </w:p>
        </w:tc>
        <w:tc>
          <w:tcPr>
            <w:tcW w:w="1180" w:type="dxa"/>
            <w:vAlign w:val="bottom"/>
            <w:shd w:val="clear" w:color="auto" w:fill="E9F8FD"/>
          </w:tcPr>
          <w:p>
            <w:pPr>
              <w:jc w:val="right"/>
              <w:ind w:right="23"/>
              <w:spacing w:after="0"/>
              <w:rPr>
                <w:sz w:val="20"/>
                <w:szCs w:val="20"/>
                <w:color w:val="auto"/>
              </w:rPr>
            </w:pPr>
            <w:r>
              <w:rPr>
                <w:rFonts w:ascii="Arial" w:cs="Arial" w:eastAsia="Arial" w:hAnsi="Arial"/>
                <w:sz w:val="16"/>
                <w:szCs w:val="16"/>
                <w:color w:val="42B6E9"/>
              </w:rPr>
              <w:t>5,207,308</w:t>
            </w:r>
          </w:p>
        </w:tc>
        <w:tc>
          <w:tcPr>
            <w:tcW w:w="700" w:type="dxa"/>
            <w:vAlign w:val="bottom"/>
            <w:shd w:val="clear" w:color="auto" w:fill="E9F8FD"/>
          </w:tcPr>
          <w:p>
            <w:pPr>
              <w:jc w:val="right"/>
              <w:ind w:right="439"/>
              <w:spacing w:after="0"/>
              <w:rPr>
                <w:sz w:val="20"/>
                <w:szCs w:val="20"/>
                <w:color w:val="auto"/>
              </w:rPr>
            </w:pPr>
            <w:r>
              <w:rPr>
                <w:rFonts w:ascii="Arial" w:cs="Arial" w:eastAsia="Arial" w:hAnsi="Arial"/>
                <w:sz w:val="16"/>
                <w:szCs w:val="16"/>
                <w:color w:val="42B6E9"/>
              </w:rPr>
              <w:t>$</w:t>
            </w:r>
          </w:p>
        </w:tc>
        <w:tc>
          <w:tcPr>
            <w:tcW w:w="1020" w:type="dxa"/>
            <w:vAlign w:val="bottom"/>
            <w:shd w:val="clear" w:color="auto" w:fill="E9F8FD"/>
          </w:tcPr>
          <w:p>
            <w:pPr>
              <w:jc w:val="right"/>
              <w:ind w:right="41"/>
              <w:spacing w:after="0"/>
              <w:rPr>
                <w:sz w:val="20"/>
                <w:szCs w:val="20"/>
                <w:color w:val="auto"/>
              </w:rPr>
            </w:pPr>
            <w:r>
              <w:rPr>
                <w:rFonts w:ascii="Arial" w:cs="Arial" w:eastAsia="Arial" w:hAnsi="Arial"/>
                <w:sz w:val="16"/>
                <w:szCs w:val="16"/>
                <w:color w:val="42B6E9"/>
              </w:rPr>
              <w:t>2,417,109</w:t>
            </w:r>
          </w:p>
        </w:tc>
      </w:tr>
      <w:tr>
        <w:trPr>
          <w:trHeight w:val="378"/>
        </w:trPr>
        <w:tc>
          <w:tcPr>
            <w:tcW w:w="606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Audit Related Fees</w:t>
            </w:r>
            <w:r>
              <w:rPr>
                <w:rFonts w:ascii="Arial" w:cs="Arial" w:eastAsia="Arial" w:hAnsi="Arial"/>
                <w:sz w:val="26"/>
                <w:szCs w:val="26"/>
                <w:color w:val="42B6E9"/>
                <w:vertAlign w:val="superscript"/>
              </w:rPr>
              <w:t>(2)</w:t>
            </w:r>
          </w:p>
        </w:tc>
        <w:tc>
          <w:tcPr>
            <w:tcW w:w="600" w:type="dxa"/>
            <w:vAlign w:val="bottom"/>
            <w:shd w:val="clear" w:color="auto" w:fill="E9F8FD"/>
          </w:tcPr>
          <w:p>
            <w:pPr>
              <w:spacing w:after="0"/>
              <w:rPr>
                <w:sz w:val="24"/>
                <w:szCs w:val="24"/>
                <w:color w:val="auto"/>
              </w:rPr>
            </w:pPr>
          </w:p>
        </w:tc>
        <w:tc>
          <w:tcPr>
            <w:tcW w:w="1180" w:type="dxa"/>
            <w:vAlign w:val="bottom"/>
            <w:shd w:val="clear" w:color="auto" w:fill="E9F8FD"/>
          </w:tcPr>
          <w:p>
            <w:pPr>
              <w:jc w:val="right"/>
              <w:ind w:right="23"/>
              <w:spacing w:after="0"/>
              <w:rPr>
                <w:sz w:val="20"/>
                <w:szCs w:val="20"/>
                <w:color w:val="auto"/>
              </w:rPr>
            </w:pPr>
            <w:r>
              <w:rPr>
                <w:rFonts w:ascii="Arial" w:cs="Arial" w:eastAsia="Arial" w:hAnsi="Arial"/>
                <w:sz w:val="16"/>
                <w:szCs w:val="16"/>
                <w:color w:val="42B6E9"/>
              </w:rPr>
              <w:t>—</w:t>
            </w:r>
          </w:p>
        </w:tc>
        <w:tc>
          <w:tcPr>
            <w:tcW w:w="700" w:type="dxa"/>
            <w:vAlign w:val="bottom"/>
            <w:shd w:val="clear" w:color="auto" w:fill="E9F8FD"/>
          </w:tcPr>
          <w:p>
            <w:pPr>
              <w:spacing w:after="0"/>
              <w:rPr>
                <w:sz w:val="24"/>
                <w:szCs w:val="24"/>
                <w:color w:val="auto"/>
              </w:rPr>
            </w:pPr>
          </w:p>
        </w:tc>
        <w:tc>
          <w:tcPr>
            <w:tcW w:w="1020" w:type="dxa"/>
            <w:vAlign w:val="bottom"/>
            <w:shd w:val="clear" w:color="auto" w:fill="E9F8FD"/>
          </w:tcPr>
          <w:p>
            <w:pPr>
              <w:jc w:val="right"/>
              <w:ind w:right="41"/>
              <w:spacing w:after="0"/>
              <w:rPr>
                <w:sz w:val="20"/>
                <w:szCs w:val="20"/>
                <w:color w:val="auto"/>
              </w:rPr>
            </w:pPr>
            <w:r>
              <w:rPr>
                <w:rFonts w:ascii="Arial" w:cs="Arial" w:eastAsia="Arial" w:hAnsi="Arial"/>
                <w:sz w:val="16"/>
                <w:szCs w:val="16"/>
                <w:color w:val="42B6E9"/>
              </w:rPr>
              <w:t>—</w:t>
            </w:r>
          </w:p>
        </w:tc>
      </w:tr>
      <w:tr>
        <w:trPr>
          <w:trHeight w:val="378"/>
        </w:trPr>
        <w:tc>
          <w:tcPr>
            <w:tcW w:w="606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Tax Fees</w:t>
            </w:r>
            <w:r>
              <w:rPr>
                <w:rFonts w:ascii="Arial" w:cs="Arial" w:eastAsia="Arial" w:hAnsi="Arial"/>
                <w:sz w:val="26"/>
                <w:szCs w:val="26"/>
                <w:color w:val="42B6E9"/>
                <w:vertAlign w:val="superscript"/>
              </w:rPr>
              <w:t>(3)</w:t>
            </w:r>
          </w:p>
        </w:tc>
        <w:tc>
          <w:tcPr>
            <w:tcW w:w="600" w:type="dxa"/>
            <w:vAlign w:val="bottom"/>
            <w:shd w:val="clear" w:color="auto" w:fill="E9F8FD"/>
          </w:tcPr>
          <w:p>
            <w:pPr>
              <w:spacing w:after="0"/>
              <w:rPr>
                <w:sz w:val="24"/>
                <w:szCs w:val="24"/>
                <w:color w:val="auto"/>
              </w:rPr>
            </w:pPr>
          </w:p>
        </w:tc>
        <w:tc>
          <w:tcPr>
            <w:tcW w:w="1180" w:type="dxa"/>
            <w:vAlign w:val="bottom"/>
            <w:shd w:val="clear" w:color="auto" w:fill="E9F8FD"/>
          </w:tcPr>
          <w:p>
            <w:pPr>
              <w:jc w:val="right"/>
              <w:ind w:right="23"/>
              <w:spacing w:after="0"/>
              <w:rPr>
                <w:sz w:val="20"/>
                <w:szCs w:val="20"/>
                <w:color w:val="auto"/>
              </w:rPr>
            </w:pPr>
            <w:r>
              <w:rPr>
                <w:rFonts w:ascii="Arial" w:cs="Arial" w:eastAsia="Arial" w:hAnsi="Arial"/>
                <w:sz w:val="16"/>
                <w:szCs w:val="16"/>
                <w:color w:val="42B6E9"/>
              </w:rPr>
              <w:t>10,300</w:t>
            </w:r>
          </w:p>
        </w:tc>
        <w:tc>
          <w:tcPr>
            <w:tcW w:w="700" w:type="dxa"/>
            <w:vAlign w:val="bottom"/>
            <w:shd w:val="clear" w:color="auto" w:fill="E9F8FD"/>
          </w:tcPr>
          <w:p>
            <w:pPr>
              <w:spacing w:after="0"/>
              <w:rPr>
                <w:sz w:val="24"/>
                <w:szCs w:val="24"/>
                <w:color w:val="auto"/>
              </w:rPr>
            </w:pPr>
          </w:p>
        </w:tc>
        <w:tc>
          <w:tcPr>
            <w:tcW w:w="1020" w:type="dxa"/>
            <w:vAlign w:val="bottom"/>
            <w:shd w:val="clear" w:color="auto" w:fill="E9F8FD"/>
          </w:tcPr>
          <w:p>
            <w:pPr>
              <w:jc w:val="right"/>
              <w:ind w:right="41"/>
              <w:spacing w:after="0"/>
              <w:rPr>
                <w:sz w:val="20"/>
                <w:szCs w:val="20"/>
                <w:color w:val="auto"/>
              </w:rPr>
            </w:pPr>
            <w:r>
              <w:rPr>
                <w:rFonts w:ascii="Arial" w:cs="Arial" w:eastAsia="Arial" w:hAnsi="Arial"/>
                <w:sz w:val="16"/>
                <w:szCs w:val="16"/>
                <w:color w:val="42B6E9"/>
              </w:rPr>
              <w:t>83,817</w:t>
            </w:r>
          </w:p>
        </w:tc>
      </w:tr>
      <w:tr>
        <w:trPr>
          <w:trHeight w:val="291"/>
        </w:trPr>
        <w:tc>
          <w:tcPr>
            <w:tcW w:w="606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Total Fees</w:t>
            </w:r>
          </w:p>
        </w:tc>
        <w:tc>
          <w:tcPr>
            <w:tcW w:w="600" w:type="dxa"/>
            <w:vAlign w:val="bottom"/>
            <w:shd w:val="clear" w:color="auto" w:fill="E9F8FD"/>
          </w:tcPr>
          <w:p>
            <w:pPr>
              <w:jc w:val="right"/>
              <w:ind w:right="259"/>
              <w:spacing w:after="0"/>
              <w:rPr>
                <w:sz w:val="20"/>
                <w:szCs w:val="20"/>
                <w:color w:val="auto"/>
              </w:rPr>
            </w:pPr>
            <w:r>
              <w:rPr>
                <w:rFonts w:ascii="Arial" w:cs="Arial" w:eastAsia="Arial" w:hAnsi="Arial"/>
                <w:sz w:val="16"/>
                <w:szCs w:val="16"/>
                <w:color w:val="42B6E9"/>
              </w:rPr>
              <w:t>$</w:t>
            </w:r>
          </w:p>
        </w:tc>
        <w:tc>
          <w:tcPr>
            <w:tcW w:w="1180" w:type="dxa"/>
            <w:vAlign w:val="bottom"/>
            <w:shd w:val="clear" w:color="auto" w:fill="E9F8FD"/>
          </w:tcPr>
          <w:p>
            <w:pPr>
              <w:jc w:val="right"/>
              <w:ind w:right="23"/>
              <w:spacing w:after="0"/>
              <w:rPr>
                <w:sz w:val="20"/>
                <w:szCs w:val="20"/>
                <w:color w:val="auto"/>
              </w:rPr>
            </w:pPr>
            <w:r>
              <w:rPr>
                <w:rFonts w:ascii="Arial" w:cs="Arial" w:eastAsia="Arial" w:hAnsi="Arial"/>
                <w:sz w:val="16"/>
                <w:szCs w:val="16"/>
                <w:color w:val="42B6E9"/>
              </w:rPr>
              <w:t>5,217,608</w:t>
            </w:r>
          </w:p>
        </w:tc>
        <w:tc>
          <w:tcPr>
            <w:tcW w:w="700" w:type="dxa"/>
            <w:vAlign w:val="bottom"/>
            <w:shd w:val="clear" w:color="auto" w:fill="E9F8FD"/>
          </w:tcPr>
          <w:p>
            <w:pPr>
              <w:jc w:val="right"/>
              <w:ind w:right="439"/>
              <w:spacing w:after="0"/>
              <w:rPr>
                <w:sz w:val="20"/>
                <w:szCs w:val="20"/>
                <w:color w:val="auto"/>
              </w:rPr>
            </w:pPr>
            <w:r>
              <w:rPr>
                <w:rFonts w:ascii="Arial" w:cs="Arial" w:eastAsia="Arial" w:hAnsi="Arial"/>
                <w:sz w:val="16"/>
                <w:szCs w:val="16"/>
                <w:color w:val="42B6E9"/>
              </w:rPr>
              <w:t>$</w:t>
            </w:r>
          </w:p>
        </w:tc>
        <w:tc>
          <w:tcPr>
            <w:tcW w:w="1020" w:type="dxa"/>
            <w:vAlign w:val="bottom"/>
            <w:shd w:val="clear" w:color="auto" w:fill="E9F8FD"/>
          </w:tcPr>
          <w:p>
            <w:pPr>
              <w:jc w:val="right"/>
              <w:ind w:right="41"/>
              <w:spacing w:after="0"/>
              <w:rPr>
                <w:sz w:val="20"/>
                <w:szCs w:val="20"/>
                <w:color w:val="auto"/>
              </w:rPr>
            </w:pPr>
            <w:r>
              <w:rPr>
                <w:rFonts w:ascii="Arial" w:cs="Arial" w:eastAsia="Arial" w:hAnsi="Arial"/>
                <w:sz w:val="16"/>
                <w:szCs w:val="16"/>
                <w:color w:val="42B6E9"/>
              </w:rPr>
              <w:t>$2,500,926</w:t>
            </w:r>
          </w:p>
        </w:tc>
      </w:tr>
      <w:tr>
        <w:trPr>
          <w:trHeight w:val="60"/>
        </w:trPr>
        <w:tc>
          <w:tcPr>
            <w:tcW w:w="6060" w:type="dxa"/>
            <w:vAlign w:val="bottom"/>
            <w:shd w:val="clear" w:color="auto" w:fill="E9F8FD"/>
          </w:tcPr>
          <w:p>
            <w:pPr>
              <w:spacing w:after="0"/>
              <w:rPr>
                <w:sz w:val="5"/>
                <w:szCs w:val="5"/>
                <w:color w:val="auto"/>
              </w:rPr>
            </w:pPr>
          </w:p>
        </w:tc>
        <w:tc>
          <w:tcPr>
            <w:tcW w:w="600" w:type="dxa"/>
            <w:vAlign w:val="bottom"/>
            <w:shd w:val="clear" w:color="auto" w:fill="E9F8FD"/>
          </w:tcPr>
          <w:p>
            <w:pPr>
              <w:spacing w:after="0"/>
              <w:rPr>
                <w:sz w:val="5"/>
                <w:szCs w:val="5"/>
                <w:color w:val="auto"/>
              </w:rPr>
            </w:pPr>
          </w:p>
        </w:tc>
        <w:tc>
          <w:tcPr>
            <w:tcW w:w="1180" w:type="dxa"/>
            <w:vAlign w:val="bottom"/>
            <w:shd w:val="clear" w:color="auto" w:fill="E9F8FD"/>
          </w:tcPr>
          <w:p>
            <w:pPr>
              <w:spacing w:after="0"/>
              <w:rPr>
                <w:sz w:val="5"/>
                <w:szCs w:val="5"/>
                <w:color w:val="auto"/>
              </w:rPr>
            </w:pPr>
          </w:p>
        </w:tc>
        <w:tc>
          <w:tcPr>
            <w:tcW w:w="700" w:type="dxa"/>
            <w:vAlign w:val="bottom"/>
            <w:shd w:val="clear" w:color="auto" w:fill="E9F8FD"/>
          </w:tcPr>
          <w:p>
            <w:pPr>
              <w:spacing w:after="0"/>
              <w:rPr>
                <w:sz w:val="5"/>
                <w:szCs w:val="5"/>
                <w:color w:val="auto"/>
              </w:rPr>
            </w:pPr>
          </w:p>
        </w:tc>
        <w:tc>
          <w:tcPr>
            <w:tcW w:w="1020" w:type="dxa"/>
            <w:vAlign w:val="bottom"/>
            <w:shd w:val="clear" w:color="auto" w:fill="E9F8FD"/>
          </w:tcPr>
          <w:p>
            <w:pPr>
              <w:spacing w:after="0"/>
              <w:rPr>
                <w:sz w:val="5"/>
                <w:szCs w:val="5"/>
                <w:color w:val="auto"/>
              </w:rPr>
            </w:pPr>
          </w:p>
        </w:tc>
      </w:tr>
    </w:tbl>
    <w:p>
      <w:pPr>
        <w:spacing w:after="0" w:line="113" w:lineRule="exact"/>
        <w:rPr>
          <w:sz w:val="20"/>
          <w:szCs w:val="20"/>
          <w:color w:val="auto"/>
        </w:rPr>
      </w:pPr>
    </w:p>
    <w:p>
      <w:pPr>
        <w:ind w:left="244" w:right="20" w:hanging="244"/>
        <w:spacing w:after="0" w:line="219" w:lineRule="auto"/>
        <w:tabs>
          <w:tab w:leader="none" w:pos="244" w:val="left"/>
        </w:tabs>
        <w:numPr>
          <w:ilvl w:val="0"/>
          <w:numId w:val="53"/>
        </w:numPr>
        <w:rPr>
          <w:rFonts w:ascii="Arial" w:cs="Arial" w:eastAsia="Arial" w:hAnsi="Arial"/>
          <w:sz w:val="22"/>
          <w:szCs w:val="22"/>
          <w:color w:val="auto"/>
          <w:vertAlign w:val="superscript"/>
        </w:rPr>
      </w:pPr>
      <w:r>
        <w:rPr>
          <w:rFonts w:ascii="Arial" w:cs="Arial" w:eastAsia="Arial" w:hAnsi="Arial"/>
          <w:sz w:val="14"/>
          <w:szCs w:val="14"/>
          <w:color w:val="auto"/>
        </w:rPr>
        <w:t>Consists of fees billed for professional services rendered in connection with the annual audit of our consolidated financial statements, including audited financial statements presented in our Annual Report on Form 10-K, review of the interim consolidated financial statements included in our quarterly reports, professional consultations with respect to accounting matters, and services normally provided in connection with regulatory filings. Fees billed for the year ended December 31, 2020 also included services rendered in connection with our initial public offering completed in December 2020.</w:t>
      </w:r>
    </w:p>
    <w:p>
      <w:pPr>
        <w:spacing w:after="0" w:line="5" w:lineRule="exact"/>
        <w:rPr>
          <w:rFonts w:ascii="Arial" w:cs="Arial" w:eastAsia="Arial" w:hAnsi="Arial"/>
          <w:sz w:val="22"/>
          <w:szCs w:val="22"/>
          <w:color w:val="auto"/>
          <w:vertAlign w:val="superscript"/>
        </w:rPr>
      </w:pPr>
    </w:p>
    <w:p>
      <w:pPr>
        <w:ind w:left="244" w:right="160" w:hanging="244"/>
        <w:spacing w:after="0" w:line="193" w:lineRule="auto"/>
        <w:tabs>
          <w:tab w:leader="none" w:pos="244" w:val="left"/>
        </w:tabs>
        <w:numPr>
          <w:ilvl w:val="0"/>
          <w:numId w:val="53"/>
        </w:numPr>
        <w:rPr>
          <w:rFonts w:ascii="Arial" w:cs="Arial" w:eastAsia="Arial" w:hAnsi="Arial"/>
          <w:sz w:val="22"/>
          <w:szCs w:val="22"/>
          <w:color w:val="auto"/>
          <w:vertAlign w:val="superscript"/>
        </w:rPr>
      </w:pPr>
      <w:r>
        <w:rPr>
          <w:rFonts w:ascii="Arial" w:cs="Arial" w:eastAsia="Arial" w:hAnsi="Arial"/>
          <w:sz w:val="14"/>
          <w:szCs w:val="14"/>
          <w:color w:val="auto"/>
        </w:rPr>
        <w:t>Consists of fees billed for assurance and related services that are reasonably related to the performance of the audit or review of the Company’s consolidated financial statements and are not reported under “Audit Fees.”</w:t>
      </w:r>
    </w:p>
    <w:p>
      <w:pPr>
        <w:spacing w:after="0" w:line="18" w:lineRule="exact"/>
        <w:rPr>
          <w:rFonts w:ascii="Arial" w:cs="Arial" w:eastAsia="Arial" w:hAnsi="Arial"/>
          <w:sz w:val="22"/>
          <w:szCs w:val="22"/>
          <w:color w:val="auto"/>
          <w:vertAlign w:val="superscript"/>
        </w:rPr>
      </w:pPr>
    </w:p>
    <w:p>
      <w:pPr>
        <w:ind w:left="244" w:right="380" w:hanging="244"/>
        <w:spacing w:after="0" w:line="193" w:lineRule="auto"/>
        <w:tabs>
          <w:tab w:leader="none" w:pos="244" w:val="left"/>
        </w:tabs>
        <w:numPr>
          <w:ilvl w:val="0"/>
          <w:numId w:val="53"/>
        </w:numPr>
        <w:rPr>
          <w:rFonts w:ascii="Arial" w:cs="Arial" w:eastAsia="Arial" w:hAnsi="Arial"/>
          <w:sz w:val="22"/>
          <w:szCs w:val="22"/>
          <w:color w:val="auto"/>
          <w:vertAlign w:val="superscript"/>
        </w:rPr>
      </w:pPr>
      <w:r>
        <w:rPr>
          <w:rFonts w:ascii="Arial" w:cs="Arial" w:eastAsia="Arial" w:hAnsi="Arial"/>
          <w:sz w:val="14"/>
          <w:szCs w:val="14"/>
          <w:color w:val="auto"/>
        </w:rPr>
        <w:t>Consists of fees billed for professional services for tax compliance, tax advice and tax planning. These services include assistance regarding federal, state and international tax compliance.</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6"/>
          <w:szCs w:val="16"/>
          <w:color w:val="auto"/>
        </w:rPr>
        <w:t>All fees described above were pre-approved by the Audit Committee.</w:t>
      </w:r>
    </w:p>
    <w:p>
      <w:pPr>
        <w:spacing w:after="0" w:line="36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42B6E9"/>
        </w:rPr>
        <w:t>Pre-approval Policies and Procedures</w:t>
      </w:r>
    </w:p>
    <w:p>
      <w:pPr>
        <w:spacing w:after="0" w:line="66" w:lineRule="exact"/>
        <w:rPr>
          <w:sz w:val="20"/>
          <w:szCs w:val="20"/>
          <w:color w:val="auto"/>
        </w:rPr>
      </w:pPr>
    </w:p>
    <w:p>
      <w:pPr>
        <w:ind w:left="4" w:right="160"/>
        <w:spacing w:after="0" w:line="249" w:lineRule="auto"/>
        <w:rPr>
          <w:sz w:val="20"/>
          <w:szCs w:val="20"/>
          <w:color w:val="auto"/>
        </w:rPr>
      </w:pPr>
      <w:r>
        <w:rPr>
          <w:rFonts w:ascii="Arial" w:cs="Arial" w:eastAsia="Arial" w:hAnsi="Arial"/>
          <w:sz w:val="16"/>
          <w:szCs w:val="16"/>
          <w:color w:val="auto"/>
        </w:rPr>
        <w:t>The Audit Committee’s policy is to pre-approve all audit and permissible non-audit services rendered by Ernst &amp; Young LLP, our independent registered public accounting firm. The Audit Committee pre- approves specified services in defined categories of audit services, audit-related services, and tax services up to specified amounts, as part of the Audit Committee’s approval of the scope of the engagement of Ernst &amp; Young LLP or on an individual case-by-case basis before Ernst &amp; Young LLP is engaged to provide a service. The Audit Committee has determined that the rendering of the services other than audit services by Ernst &amp; Young LLP is compatible with maintaining the principal accountant’s independence.</w:t>
      </w:r>
    </w:p>
    <w:p>
      <w:pPr>
        <w:spacing w:after="0" w:line="190" w:lineRule="exact"/>
        <w:rPr>
          <w:sz w:val="20"/>
          <w:szCs w:val="20"/>
          <w:color w:val="auto"/>
        </w:rPr>
      </w:pPr>
    </w:p>
    <w:p>
      <w:pPr>
        <w:ind w:left="524" w:hanging="524"/>
        <w:spacing w:after="0"/>
        <w:tabs>
          <w:tab w:leader="none" w:pos="524" w:val="left"/>
        </w:tabs>
        <w:numPr>
          <w:ilvl w:val="0"/>
          <w:numId w:val="54"/>
        </w:numPr>
        <w:rPr>
          <w:rFonts w:ascii="Arial" w:cs="Arial" w:eastAsia="Arial" w:hAnsi="Arial"/>
          <w:sz w:val="14"/>
          <w:szCs w:val="14"/>
          <w:b w:val="1"/>
          <w:bCs w:val="1"/>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39" w:name="page40"/>
    <w:bookmarkEnd w:id="39"/>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1" w:lineRule="exact"/>
        <w:rPr>
          <w:sz w:val="20"/>
          <w:szCs w:val="20"/>
          <w:color w:val="auto"/>
        </w:rPr>
      </w:pPr>
    </w:p>
    <w:p>
      <w:pPr>
        <w:ind w:left="720"/>
        <w:spacing w:after="0"/>
        <w:rPr>
          <w:sz w:val="20"/>
          <w:szCs w:val="20"/>
          <w:color w:val="auto"/>
        </w:rPr>
      </w:pPr>
      <w:r>
        <w:rPr>
          <w:rFonts w:ascii="Arial" w:cs="Arial" w:eastAsia="Arial" w:hAnsi="Arial"/>
          <w:sz w:val="26"/>
          <w:szCs w:val="26"/>
          <w:color w:val="42B6E9"/>
        </w:rPr>
        <w:t>REPORT OF THE AUDIT COMMITTEE OF THE BOARD OF DIRECTORS</w:t>
      </w:r>
      <w:r>
        <w:rPr>
          <w:rFonts w:ascii="Arial" w:cs="Arial" w:eastAsia="Arial" w:hAnsi="Arial"/>
          <w:sz w:val="43"/>
          <w:szCs w:val="43"/>
          <w:color w:val="42B6E9"/>
          <w:vertAlign w:val="superscript"/>
        </w:rPr>
        <w:t>(1)</w:t>
      </w:r>
    </w:p>
    <w:p>
      <w:pPr>
        <w:ind w:left="720" w:right="780"/>
        <w:spacing w:after="0" w:line="250" w:lineRule="auto"/>
        <w:rPr>
          <w:sz w:val="20"/>
          <w:szCs w:val="20"/>
          <w:color w:val="auto"/>
        </w:rPr>
      </w:pPr>
      <w:r>
        <w:rPr>
          <w:rFonts w:ascii="Arial" w:cs="Arial" w:eastAsia="Arial" w:hAnsi="Arial"/>
          <w:sz w:val="16"/>
          <w:szCs w:val="16"/>
          <w:color w:val="auto"/>
        </w:rPr>
        <w:t>The Audit Committee of our Board of Directors consists of the three non-employee directors named below and operates under a written charter adopted by our Board of Directors. Our Board of Directors annually reviews the Nasdaq listing standards’ definition of independence for audit committee members and has determined that each member of the Audit Committee meets that standard. Our Board of Directors has also determined that Julie Bradley and Stephanie Tilenius each is an audit committee financial expert as described in applicable rules and regulations of the Securities and Exchange Commission.</w:t>
      </w:r>
    </w:p>
    <w:p>
      <w:pPr>
        <w:spacing w:after="0" w:line="149" w:lineRule="exact"/>
        <w:rPr>
          <w:sz w:val="20"/>
          <w:szCs w:val="20"/>
          <w:color w:val="auto"/>
        </w:rPr>
      </w:pPr>
    </w:p>
    <w:p>
      <w:pPr>
        <w:ind w:left="720" w:right="920"/>
        <w:spacing w:after="0" w:line="250" w:lineRule="auto"/>
        <w:rPr>
          <w:sz w:val="20"/>
          <w:szCs w:val="20"/>
          <w:color w:val="auto"/>
        </w:rPr>
      </w:pPr>
      <w:r>
        <w:rPr>
          <w:rFonts w:ascii="Arial" w:cs="Arial" w:eastAsia="Arial" w:hAnsi="Arial"/>
          <w:sz w:val="16"/>
          <w:szCs w:val="16"/>
          <w:color w:val="auto"/>
        </w:rPr>
        <w:t>The principal purpose of the Audit Committee is to assist our Board of Directors in its general oversight of our accounting and financial reporting processes and audits of our financial statements. The Audit Committee is responsible for selecting and engaging our independent auditor and approving the audit and non-audit services to be provided by the independent auditor. The Audit Committee’s function is more fully described in its Charter, which our Board of Directors adopted and which the Audit Committee reviews on an annual basis.</w:t>
      </w:r>
    </w:p>
    <w:p>
      <w:pPr>
        <w:spacing w:after="0" w:line="149" w:lineRule="exact"/>
        <w:rPr>
          <w:sz w:val="20"/>
          <w:szCs w:val="20"/>
          <w:color w:val="auto"/>
        </w:rPr>
      </w:pPr>
    </w:p>
    <w:p>
      <w:pPr>
        <w:ind w:left="720" w:right="1000"/>
        <w:spacing w:after="0" w:line="251" w:lineRule="auto"/>
        <w:rPr>
          <w:sz w:val="20"/>
          <w:szCs w:val="20"/>
          <w:color w:val="auto"/>
        </w:rPr>
      </w:pPr>
      <w:r>
        <w:rPr>
          <w:rFonts w:ascii="Arial" w:cs="Arial" w:eastAsia="Arial" w:hAnsi="Arial"/>
          <w:sz w:val="16"/>
          <w:szCs w:val="16"/>
          <w:color w:val="auto"/>
        </w:rPr>
        <w:t>Our management is responsible for preparing our financial statements and our financial reporting process. Ernst &amp; Young LLP, our independent registered public accounting firm, is responsible for performing an independent audit of our consolidated financial statements and expressing an opinion on the conformity of those financial statements with U.S. generally accepted accounting principles.</w:t>
      </w:r>
    </w:p>
    <w:p>
      <w:pPr>
        <w:spacing w:after="0" w:line="148" w:lineRule="exact"/>
        <w:rPr>
          <w:sz w:val="20"/>
          <w:szCs w:val="20"/>
          <w:color w:val="auto"/>
        </w:rPr>
      </w:pPr>
    </w:p>
    <w:p>
      <w:pPr>
        <w:ind w:left="720" w:right="760"/>
        <w:spacing w:after="0" w:line="260" w:lineRule="auto"/>
        <w:rPr>
          <w:sz w:val="20"/>
          <w:szCs w:val="20"/>
          <w:color w:val="auto"/>
        </w:rPr>
      </w:pPr>
      <w:r>
        <w:rPr>
          <w:rFonts w:ascii="Arial" w:cs="Arial" w:eastAsia="Arial" w:hAnsi="Arial"/>
          <w:sz w:val="16"/>
          <w:szCs w:val="16"/>
          <w:color w:val="auto"/>
        </w:rPr>
        <w:t>The Audit Committee has reviewed and discussed with our management the audited financial statements of the Company included in our Annual Report on Form 10-K for the fiscal year ended December 31, 2020 (“10-K”).</w:t>
      </w:r>
    </w:p>
    <w:p>
      <w:pPr>
        <w:spacing w:after="0" w:line="141" w:lineRule="exact"/>
        <w:rPr>
          <w:sz w:val="20"/>
          <w:szCs w:val="20"/>
          <w:color w:val="auto"/>
        </w:rPr>
      </w:pPr>
    </w:p>
    <w:p>
      <w:pPr>
        <w:ind w:left="720" w:right="860"/>
        <w:spacing w:after="0" w:line="248" w:lineRule="auto"/>
        <w:rPr>
          <w:sz w:val="20"/>
          <w:szCs w:val="20"/>
          <w:color w:val="auto"/>
        </w:rPr>
      </w:pPr>
      <w:r>
        <w:rPr>
          <w:rFonts w:ascii="Arial" w:cs="Arial" w:eastAsia="Arial" w:hAnsi="Arial"/>
          <w:sz w:val="16"/>
          <w:szCs w:val="16"/>
          <w:color w:val="auto"/>
        </w:rPr>
        <w:t xml:space="preserve">The Audit Committee has also reviewed and discussed with Ernst &amp; Young LLP the audited financial statements in the 10-K. In addition, the Audit Committee discussed with Ernst &amp; Young LLP those matters required to be discussed by the auditors with the Audit Committee under the rules adopted by the Public Company Accounting Oversight Board (the “PCAOB”), including General Auditing Standards 1301,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Additionally, Ernst &amp; Young LLP provided to the Audit Committee the written disclosures and the letter required by the applicable requirements of the PCAOB regarding the independent accountant’s communications with the Audit Committee concerning independence. The Audit Committee also discussed with Ernst &amp; Young LLP its independence from the Company and satisfied itself as to the independence of Ernst &amp; Young LLP.</w:t>
      </w:r>
    </w:p>
    <w:p>
      <w:pPr>
        <w:spacing w:after="0" w:line="154" w:lineRule="exact"/>
        <w:rPr>
          <w:sz w:val="20"/>
          <w:szCs w:val="20"/>
          <w:color w:val="auto"/>
        </w:rPr>
      </w:pPr>
    </w:p>
    <w:p>
      <w:pPr>
        <w:ind w:left="720" w:right="960"/>
        <w:spacing w:after="0" w:line="251" w:lineRule="auto"/>
        <w:rPr>
          <w:sz w:val="20"/>
          <w:szCs w:val="20"/>
          <w:color w:val="auto"/>
        </w:rPr>
      </w:pPr>
      <w:r>
        <w:rPr>
          <w:rFonts w:ascii="Arial" w:cs="Arial" w:eastAsia="Arial" w:hAnsi="Arial"/>
          <w:sz w:val="16"/>
          <w:szCs w:val="16"/>
          <w:color w:val="auto"/>
        </w:rPr>
        <w:t>Based upon the review and discussions described above, the Audit Committee recommended to the Board of Directors that the audited financial statements be included in the Company’s 10-K for filing with the Securities and Exchange Commission. The Audit Committee also has appointed Ernst &amp; Young LLP as our independent registered public accounting firm for the fiscal year ending December 31, 2021 and is seeking ratification of such appointment by the stockholders.</w:t>
      </w:r>
    </w:p>
    <w:p>
      <w:pPr>
        <w:spacing w:after="0" w:line="21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Submitted by the following members of the Audit Committee:</w:t>
      </w:r>
    </w:p>
    <w:p>
      <w:pPr>
        <w:spacing w:after="0" w:line="21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Julie Bradley, Chair</w:t>
      </w:r>
    </w:p>
    <w:p>
      <w:pPr>
        <w:spacing w:after="0" w:line="2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Stephanie Tilenius</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Hans Tung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10795</wp:posOffset>
            </wp:positionV>
            <wp:extent cx="8229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8" w:lineRule="exact"/>
        <w:rPr>
          <w:sz w:val="20"/>
          <w:szCs w:val="20"/>
          <w:color w:val="auto"/>
        </w:rPr>
      </w:pPr>
    </w:p>
    <w:p>
      <w:pPr>
        <w:ind w:left="900" w:right="1000" w:hanging="184"/>
        <w:spacing w:after="0" w:line="212" w:lineRule="auto"/>
        <w:tabs>
          <w:tab w:leader="none" w:pos="900" w:val="left"/>
        </w:tabs>
        <w:numPr>
          <w:ilvl w:val="0"/>
          <w:numId w:val="55"/>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material in this report is not “soliciting material,” is not deemed “filed” with the SEC and is not to be incorporated by reference in any filing of Wish under the Securities Act or the Exchange Act, whether made before or after the date hereof and irrespective of any general incorporation language in any such filing.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060"/>
              <w:spacing w:after="0"/>
              <w:rPr>
                <w:sz w:val="20"/>
                <w:szCs w:val="20"/>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35</w:t>
            </w:r>
          </w:p>
        </w:tc>
      </w:tr>
      <w:tr>
        <w:trPr>
          <w:trHeight w:val="167"/>
        </w:trPr>
        <w:tc>
          <w:tcPr>
            <w:tcW w:w="9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40" w:name="page41"/>
    <w:bookmarkEnd w:id="40"/>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42B6E9"/>
        </w:rPr>
        <w:t>PROPOSAL 1</w:t>
      </w:r>
    </w:p>
    <w:p>
      <w:pPr>
        <w:spacing w:after="0" w:line="10" w:lineRule="exact"/>
        <w:rPr>
          <w:sz w:val="20"/>
          <w:szCs w:val="20"/>
          <w:color w:val="auto"/>
        </w:rPr>
      </w:pPr>
    </w:p>
    <w:p>
      <w:pPr>
        <w:ind w:left="4"/>
        <w:spacing w:after="0"/>
        <w:rPr>
          <w:sz w:val="20"/>
          <w:szCs w:val="20"/>
          <w:color w:val="auto"/>
        </w:rPr>
      </w:pPr>
      <w:r>
        <w:rPr>
          <w:rFonts w:ascii="Arial" w:cs="Arial" w:eastAsia="Arial" w:hAnsi="Arial"/>
          <w:sz w:val="32"/>
          <w:szCs w:val="32"/>
          <w:color w:val="42B6E9"/>
        </w:rPr>
        <w:t>ELECTION OF DIRECTORS</w:t>
      </w:r>
    </w:p>
    <w:p>
      <w:pPr>
        <w:spacing w:after="0" w:line="116" w:lineRule="exact"/>
        <w:rPr>
          <w:sz w:val="20"/>
          <w:szCs w:val="20"/>
          <w:color w:val="auto"/>
        </w:rPr>
      </w:pPr>
    </w:p>
    <w:p>
      <w:pPr>
        <w:ind w:left="4" w:right="360" w:firstLine="360"/>
        <w:spacing w:after="0" w:line="260" w:lineRule="auto"/>
        <w:rPr>
          <w:sz w:val="20"/>
          <w:szCs w:val="20"/>
          <w:color w:val="auto"/>
        </w:rPr>
      </w:pPr>
      <w:r>
        <w:rPr>
          <w:rFonts w:ascii="Arial" w:cs="Arial" w:eastAsia="Arial" w:hAnsi="Arial"/>
          <w:sz w:val="16"/>
          <w:szCs w:val="16"/>
          <w:color w:val="auto"/>
        </w:rPr>
        <w:t>Our Board of Directors currently consists of eight directors. The Board is unclassified and each of our directors will stand for reelection annually.</w:t>
      </w:r>
    </w:p>
    <w:p>
      <w:pPr>
        <w:spacing w:after="0" w:line="87" w:lineRule="exact"/>
        <w:rPr>
          <w:sz w:val="20"/>
          <w:szCs w:val="20"/>
          <w:color w:val="auto"/>
        </w:rPr>
      </w:pPr>
    </w:p>
    <w:p>
      <w:pPr>
        <w:ind w:left="4" w:right="60" w:firstLine="360"/>
        <w:spacing w:after="0" w:line="248" w:lineRule="auto"/>
        <w:rPr>
          <w:sz w:val="20"/>
          <w:szCs w:val="20"/>
          <w:color w:val="auto"/>
        </w:rPr>
      </w:pPr>
      <w:r>
        <w:rPr>
          <w:rFonts w:ascii="Arial" w:cs="Arial" w:eastAsia="Arial" w:hAnsi="Arial"/>
          <w:sz w:val="16"/>
          <w:szCs w:val="16"/>
          <w:color w:val="auto"/>
        </w:rPr>
        <w:t>On February 22, 2021, our Board of Directors nominated Piotr Szulczewski, Julie Bradley, Ari Emanuel, Joe Lonsdale, Jacqueline Reses, Tanzeen Syed, Stephanie Tilenius, and Hans Tung for election at the Annual Meeting. If they are elected, they will serve on our Board of Directors until our 2022 Annual Meeting of Stockholders and until their respective successors have been elected and qualified. The nominees for director at the Annual Meeting, their ages as of March 31, 2021, and their positions and offices held with the Company are set forth below. Other biographical information for the members of our Board of Directors is set forth in this Proxy Statement under the heading “</w:t>
      </w:r>
      <w:r>
        <w:rPr>
          <w:rFonts w:ascii="Arial" w:cs="Arial" w:eastAsia="Arial" w:hAnsi="Arial"/>
          <w:sz w:val="16"/>
          <w:szCs w:val="16"/>
          <w:i w:val="1"/>
          <w:iCs w:val="1"/>
          <w:color w:val="auto"/>
        </w:rPr>
        <w:t>Directors, Executive Officers, and Corporate Governance—Directors and Executive</w:t>
      </w:r>
      <w:r>
        <w:rPr>
          <w:rFonts w:ascii="Arial" w:cs="Arial" w:eastAsia="Arial" w:hAnsi="Arial"/>
          <w:sz w:val="16"/>
          <w:szCs w:val="16"/>
          <w:color w:val="auto"/>
        </w:rPr>
        <w:t xml:space="preserve"> </w:t>
      </w:r>
      <w:r>
        <w:rPr>
          <w:rFonts w:ascii="Arial" w:cs="Arial" w:eastAsia="Arial" w:hAnsi="Arial"/>
          <w:sz w:val="16"/>
          <w:szCs w:val="16"/>
          <w:i w:val="1"/>
          <w:iCs w:val="1"/>
          <w:color w:val="auto"/>
        </w:rPr>
        <w:t>Officers</w:t>
      </w:r>
      <w:r>
        <w:rPr>
          <w:rFonts w:ascii="Arial" w:cs="Arial" w:eastAsia="Arial" w:hAnsi="Arial"/>
          <w:sz w:val="16"/>
          <w:szCs w:val="16"/>
          <w:color w:val="auto"/>
        </w:rPr>
        <w:t>.”</w:t>
      </w:r>
    </w:p>
    <w:p>
      <w:pPr>
        <w:spacing w:after="0" w:line="100" w:lineRule="exact"/>
        <w:rPr>
          <w:sz w:val="20"/>
          <w:szCs w:val="20"/>
          <w:color w:val="auto"/>
        </w:rPr>
      </w:pPr>
    </w:p>
    <w:p>
      <w:pPr>
        <w:ind w:left="4" w:right="60" w:firstLine="360"/>
        <w:spacing w:after="0" w:line="248" w:lineRule="auto"/>
        <w:rPr>
          <w:sz w:val="20"/>
          <w:szCs w:val="20"/>
          <w:color w:val="auto"/>
        </w:rPr>
      </w:pPr>
      <w:r>
        <w:rPr>
          <w:rFonts w:ascii="Arial" w:cs="Arial" w:eastAsia="Arial" w:hAnsi="Arial"/>
          <w:sz w:val="16"/>
          <w:szCs w:val="16"/>
          <w:color w:val="auto"/>
        </w:rPr>
        <w:t>Directors are elected by a plurality of the votes properly cast in person or by proxy. Our nominees for director receiving the highest number of affirmative votes will be elected. Shares represented by executed proxies will be voted, if authority to do so is not withheld, for the election of the eight nominees named below. However, if you are the beneficial owner of the shares, which means that your shares are held by a brokerage firm, bank, dealer, or other similar organization as your nominee, your shares will not be voted for the election of directors unless you have provided voting instructions to your nominee. If any nominee becomes unavailable for election as a result of an unexpected occurrence, your shares will be voted for the election of a substitute nominee proposed by our current Board of Directors, if any. Each person nominated for election has agreed to serve if elected.</w:t>
      </w:r>
    </w:p>
    <w:p>
      <w:pPr>
        <w:spacing w:after="0" w:line="100" w:lineRule="exact"/>
        <w:rPr>
          <w:sz w:val="20"/>
          <w:szCs w:val="20"/>
          <w:color w:val="auto"/>
        </w:rPr>
      </w:pPr>
    </w:p>
    <w:p>
      <w:pPr>
        <w:ind w:left="4" w:right="60" w:firstLine="360"/>
        <w:spacing w:after="0" w:line="251" w:lineRule="auto"/>
        <w:rPr>
          <w:sz w:val="20"/>
          <w:szCs w:val="20"/>
          <w:color w:val="auto"/>
        </w:rPr>
      </w:pPr>
      <w:r>
        <w:rPr>
          <w:rFonts w:ascii="Arial" w:cs="Arial" w:eastAsia="Arial" w:hAnsi="Arial"/>
          <w:sz w:val="16"/>
          <w:szCs w:val="16"/>
          <w:color w:val="auto"/>
        </w:rPr>
        <w:t>If any substitute nominees are so designated, we will file an amended proxy statement that, as applicable, identifies the substitute nominees, discloses that such nominees have consented to being named in the amended proxy statement and to serve as directors if elected, and includes certain biographical and other information about such nominees required by the applicable rules promulgated by the SEC.</w:t>
      </w:r>
    </w:p>
    <w:p>
      <w:pPr>
        <w:spacing w:after="0" w:line="34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42B6E9"/>
        </w:rPr>
        <w:t>Nominees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6077585" cy="18688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77585" cy="1868805"/>
                    </a:xfrm>
                    <a:prstGeom prst="rect">
                      <a:avLst/>
                    </a:prstGeom>
                    <a:noFill/>
                  </pic:spPr>
                </pic:pic>
              </a:graphicData>
            </a:graphic>
          </wp:anchor>
        </w:drawing>
      </w:r>
    </w:p>
    <w:p>
      <w:pPr>
        <w:spacing w:after="0" w:line="84" w:lineRule="exact"/>
        <w:rPr>
          <w:sz w:val="20"/>
          <w:szCs w:val="20"/>
          <w:color w:val="auto"/>
        </w:rPr>
      </w:pPr>
    </w:p>
    <w:tbl>
      <w:tblPr>
        <w:tblLayout w:type="fixed"/>
        <w:tblInd w:w="4" w:type="dxa"/>
        <w:tblCellMar>
          <w:top w:w="0" w:type="dxa"/>
          <w:left w:w="0" w:type="dxa"/>
          <w:bottom w:w="0" w:type="dxa"/>
          <w:right w:w="0" w:type="dxa"/>
        </w:tblCellMar>
      </w:tblPr>
      <w:tr>
        <w:trPr>
          <w:trHeight w:val="317"/>
        </w:trPr>
        <w:tc>
          <w:tcPr>
            <w:tcW w:w="2140" w:type="dxa"/>
            <w:vAlign w:val="bottom"/>
            <w:tcBorders>
              <w:bottom w:val="single" w:sz="8" w:color="42B6E9"/>
            </w:tcBorders>
            <w:shd w:val="clear" w:color="auto" w:fill="42B6E9"/>
          </w:tcPr>
          <w:p>
            <w:pPr>
              <w:ind w:left="60"/>
              <w:spacing w:after="0"/>
              <w:rPr>
                <w:sz w:val="20"/>
                <w:szCs w:val="20"/>
                <w:color w:val="auto"/>
              </w:rPr>
            </w:pPr>
            <w:r>
              <w:rPr>
                <w:rFonts w:ascii="Arial" w:cs="Arial" w:eastAsia="Arial" w:hAnsi="Arial"/>
                <w:sz w:val="14"/>
                <w:szCs w:val="14"/>
                <w:b w:val="1"/>
                <w:bCs w:val="1"/>
                <w:color w:val="FFFFFF"/>
              </w:rPr>
              <w:t>Name</w:t>
            </w:r>
          </w:p>
        </w:tc>
        <w:tc>
          <w:tcPr>
            <w:tcW w:w="3270" w:type="dxa"/>
            <w:vAlign w:val="bottom"/>
            <w:tcBorders>
              <w:bottom w:val="single" w:sz="8" w:color="42B6E9"/>
            </w:tcBorders>
            <w:shd w:val="clear" w:color="auto" w:fill="42B6E9"/>
          </w:tcPr>
          <w:p>
            <w:pPr>
              <w:jc w:val="right"/>
              <w:ind w:right="1210"/>
              <w:spacing w:after="0"/>
              <w:rPr>
                <w:sz w:val="20"/>
                <w:szCs w:val="20"/>
                <w:color w:val="auto"/>
              </w:rPr>
            </w:pPr>
            <w:r>
              <w:rPr>
                <w:rFonts w:ascii="Arial" w:cs="Arial" w:eastAsia="Arial" w:hAnsi="Arial"/>
                <w:sz w:val="14"/>
                <w:szCs w:val="14"/>
                <w:b w:val="1"/>
                <w:bCs w:val="1"/>
                <w:color w:val="FFFFFF"/>
              </w:rPr>
              <w:t>Age</w:t>
            </w:r>
          </w:p>
        </w:tc>
        <w:tc>
          <w:tcPr>
            <w:tcW w:w="4150" w:type="dxa"/>
            <w:vAlign w:val="bottom"/>
            <w:tcBorders>
              <w:bottom w:val="single" w:sz="8" w:color="42B6E9"/>
            </w:tcBorders>
            <w:shd w:val="clear" w:color="auto" w:fill="42B6E9"/>
          </w:tcPr>
          <w:p>
            <w:pPr>
              <w:ind w:left="430"/>
              <w:spacing w:after="0"/>
              <w:rPr>
                <w:sz w:val="20"/>
                <w:szCs w:val="20"/>
                <w:color w:val="auto"/>
              </w:rPr>
            </w:pPr>
            <w:r>
              <w:rPr>
                <w:rFonts w:ascii="Arial" w:cs="Arial" w:eastAsia="Arial" w:hAnsi="Arial"/>
                <w:sz w:val="14"/>
                <w:szCs w:val="14"/>
                <w:b w:val="1"/>
                <w:bCs w:val="1"/>
                <w:color w:val="FFFFFF"/>
              </w:rPr>
              <w:t>Position(s) with Wish</w:t>
            </w:r>
          </w:p>
        </w:tc>
      </w:tr>
      <w:tr>
        <w:trPr>
          <w:trHeight w:val="264"/>
        </w:trPr>
        <w:tc>
          <w:tcPr>
            <w:tcW w:w="214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Piotr Szulczewski</w:t>
            </w:r>
          </w:p>
        </w:tc>
        <w:tc>
          <w:tcPr>
            <w:tcW w:w="3270" w:type="dxa"/>
            <w:vAlign w:val="bottom"/>
            <w:shd w:val="clear" w:color="auto" w:fill="E9F8FD"/>
          </w:tcPr>
          <w:p>
            <w:pPr>
              <w:jc w:val="right"/>
              <w:ind w:right="1210"/>
              <w:spacing w:after="0"/>
              <w:rPr>
                <w:sz w:val="20"/>
                <w:szCs w:val="20"/>
                <w:color w:val="auto"/>
              </w:rPr>
            </w:pPr>
            <w:r>
              <w:rPr>
                <w:rFonts w:ascii="Arial" w:cs="Arial" w:eastAsia="Arial" w:hAnsi="Arial"/>
                <w:sz w:val="16"/>
                <w:szCs w:val="16"/>
                <w:color w:val="42B6E9"/>
              </w:rPr>
              <w:t>39</w:t>
            </w:r>
          </w:p>
        </w:tc>
        <w:tc>
          <w:tcPr>
            <w:tcW w:w="4150" w:type="dxa"/>
            <w:vAlign w:val="bottom"/>
            <w:shd w:val="clear" w:color="auto" w:fill="E9F8FD"/>
          </w:tcPr>
          <w:p>
            <w:pPr>
              <w:ind w:left="430"/>
              <w:spacing w:after="0"/>
              <w:rPr>
                <w:sz w:val="20"/>
                <w:szCs w:val="20"/>
                <w:color w:val="auto"/>
              </w:rPr>
            </w:pPr>
            <w:r>
              <w:rPr>
                <w:rFonts w:ascii="Arial" w:cs="Arial" w:eastAsia="Arial" w:hAnsi="Arial"/>
                <w:sz w:val="16"/>
                <w:szCs w:val="16"/>
                <w:color w:val="42B6E9"/>
              </w:rPr>
              <w:t>Founder, Chief Executive Officer, and Chairperson</w:t>
            </w:r>
          </w:p>
        </w:tc>
      </w:tr>
      <w:tr>
        <w:trPr>
          <w:trHeight w:val="324"/>
        </w:trPr>
        <w:tc>
          <w:tcPr>
            <w:tcW w:w="214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Julie Bradley</w:t>
            </w:r>
          </w:p>
        </w:tc>
        <w:tc>
          <w:tcPr>
            <w:tcW w:w="3270" w:type="dxa"/>
            <w:vAlign w:val="bottom"/>
            <w:shd w:val="clear" w:color="auto" w:fill="E9F8FD"/>
          </w:tcPr>
          <w:p>
            <w:pPr>
              <w:jc w:val="right"/>
              <w:ind w:right="1210"/>
              <w:spacing w:after="0"/>
              <w:rPr>
                <w:sz w:val="20"/>
                <w:szCs w:val="20"/>
                <w:color w:val="auto"/>
              </w:rPr>
            </w:pPr>
            <w:r>
              <w:rPr>
                <w:rFonts w:ascii="Arial" w:cs="Arial" w:eastAsia="Arial" w:hAnsi="Arial"/>
                <w:sz w:val="16"/>
                <w:szCs w:val="16"/>
                <w:color w:val="42B6E9"/>
              </w:rPr>
              <w:t>52</w:t>
            </w:r>
          </w:p>
        </w:tc>
        <w:tc>
          <w:tcPr>
            <w:tcW w:w="4150" w:type="dxa"/>
            <w:vAlign w:val="bottom"/>
            <w:shd w:val="clear" w:color="auto" w:fill="E9F8FD"/>
          </w:tcPr>
          <w:p>
            <w:pPr>
              <w:ind w:left="430"/>
              <w:spacing w:after="0"/>
              <w:rPr>
                <w:sz w:val="20"/>
                <w:szCs w:val="20"/>
                <w:color w:val="auto"/>
              </w:rPr>
            </w:pPr>
            <w:r>
              <w:rPr>
                <w:rFonts w:ascii="Arial" w:cs="Arial" w:eastAsia="Arial" w:hAnsi="Arial"/>
                <w:sz w:val="16"/>
                <w:szCs w:val="16"/>
                <w:color w:val="42B6E9"/>
              </w:rPr>
              <w:t>Director</w:t>
            </w:r>
          </w:p>
        </w:tc>
      </w:tr>
      <w:tr>
        <w:trPr>
          <w:trHeight w:val="324"/>
        </w:trPr>
        <w:tc>
          <w:tcPr>
            <w:tcW w:w="214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Ari Emanuel</w:t>
            </w:r>
          </w:p>
        </w:tc>
        <w:tc>
          <w:tcPr>
            <w:tcW w:w="3270" w:type="dxa"/>
            <w:vAlign w:val="bottom"/>
            <w:shd w:val="clear" w:color="auto" w:fill="E9F8FD"/>
          </w:tcPr>
          <w:p>
            <w:pPr>
              <w:jc w:val="right"/>
              <w:ind w:right="1210"/>
              <w:spacing w:after="0"/>
              <w:rPr>
                <w:sz w:val="20"/>
                <w:szCs w:val="20"/>
                <w:color w:val="auto"/>
              </w:rPr>
            </w:pPr>
            <w:r>
              <w:rPr>
                <w:rFonts w:ascii="Arial" w:cs="Arial" w:eastAsia="Arial" w:hAnsi="Arial"/>
                <w:sz w:val="16"/>
                <w:szCs w:val="16"/>
                <w:color w:val="42B6E9"/>
              </w:rPr>
              <w:t>60</w:t>
            </w:r>
          </w:p>
        </w:tc>
        <w:tc>
          <w:tcPr>
            <w:tcW w:w="4150" w:type="dxa"/>
            <w:vAlign w:val="bottom"/>
            <w:shd w:val="clear" w:color="auto" w:fill="E9F8FD"/>
          </w:tcPr>
          <w:p>
            <w:pPr>
              <w:ind w:left="430"/>
              <w:spacing w:after="0"/>
              <w:rPr>
                <w:sz w:val="20"/>
                <w:szCs w:val="20"/>
                <w:color w:val="auto"/>
              </w:rPr>
            </w:pPr>
            <w:r>
              <w:rPr>
                <w:rFonts w:ascii="Arial" w:cs="Arial" w:eastAsia="Arial" w:hAnsi="Arial"/>
                <w:sz w:val="16"/>
                <w:szCs w:val="16"/>
                <w:color w:val="42B6E9"/>
              </w:rPr>
              <w:t>Director</w:t>
            </w:r>
          </w:p>
        </w:tc>
      </w:tr>
      <w:tr>
        <w:trPr>
          <w:trHeight w:val="324"/>
        </w:trPr>
        <w:tc>
          <w:tcPr>
            <w:tcW w:w="214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Joe Lonsdale</w:t>
            </w:r>
          </w:p>
        </w:tc>
        <w:tc>
          <w:tcPr>
            <w:tcW w:w="3270" w:type="dxa"/>
            <w:vAlign w:val="bottom"/>
            <w:shd w:val="clear" w:color="auto" w:fill="E9F8FD"/>
          </w:tcPr>
          <w:p>
            <w:pPr>
              <w:jc w:val="right"/>
              <w:ind w:right="1210"/>
              <w:spacing w:after="0"/>
              <w:rPr>
                <w:sz w:val="20"/>
                <w:szCs w:val="20"/>
                <w:color w:val="auto"/>
              </w:rPr>
            </w:pPr>
            <w:r>
              <w:rPr>
                <w:rFonts w:ascii="Arial" w:cs="Arial" w:eastAsia="Arial" w:hAnsi="Arial"/>
                <w:sz w:val="16"/>
                <w:szCs w:val="16"/>
                <w:color w:val="42B6E9"/>
              </w:rPr>
              <w:t>38</w:t>
            </w:r>
          </w:p>
        </w:tc>
        <w:tc>
          <w:tcPr>
            <w:tcW w:w="4150" w:type="dxa"/>
            <w:vAlign w:val="bottom"/>
            <w:shd w:val="clear" w:color="auto" w:fill="E9F8FD"/>
          </w:tcPr>
          <w:p>
            <w:pPr>
              <w:ind w:left="430"/>
              <w:spacing w:after="0"/>
              <w:rPr>
                <w:sz w:val="20"/>
                <w:szCs w:val="20"/>
                <w:color w:val="auto"/>
              </w:rPr>
            </w:pPr>
            <w:r>
              <w:rPr>
                <w:rFonts w:ascii="Arial" w:cs="Arial" w:eastAsia="Arial" w:hAnsi="Arial"/>
                <w:sz w:val="16"/>
                <w:szCs w:val="16"/>
                <w:color w:val="42B6E9"/>
              </w:rPr>
              <w:t>Director</w:t>
            </w:r>
          </w:p>
        </w:tc>
      </w:tr>
      <w:tr>
        <w:trPr>
          <w:trHeight w:val="324"/>
        </w:trPr>
        <w:tc>
          <w:tcPr>
            <w:tcW w:w="214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Jacqueline Reses</w:t>
            </w:r>
          </w:p>
        </w:tc>
        <w:tc>
          <w:tcPr>
            <w:tcW w:w="3270" w:type="dxa"/>
            <w:vAlign w:val="bottom"/>
            <w:shd w:val="clear" w:color="auto" w:fill="E9F8FD"/>
          </w:tcPr>
          <w:p>
            <w:pPr>
              <w:jc w:val="right"/>
              <w:ind w:right="1210"/>
              <w:spacing w:after="0"/>
              <w:rPr>
                <w:sz w:val="20"/>
                <w:szCs w:val="20"/>
                <w:color w:val="auto"/>
              </w:rPr>
            </w:pPr>
            <w:r>
              <w:rPr>
                <w:rFonts w:ascii="Arial" w:cs="Arial" w:eastAsia="Arial" w:hAnsi="Arial"/>
                <w:sz w:val="16"/>
                <w:szCs w:val="16"/>
                <w:color w:val="42B6E9"/>
              </w:rPr>
              <w:t>51</w:t>
            </w:r>
          </w:p>
        </w:tc>
        <w:tc>
          <w:tcPr>
            <w:tcW w:w="4150" w:type="dxa"/>
            <w:vAlign w:val="bottom"/>
            <w:shd w:val="clear" w:color="auto" w:fill="E9F8FD"/>
          </w:tcPr>
          <w:p>
            <w:pPr>
              <w:ind w:left="430"/>
              <w:spacing w:after="0"/>
              <w:rPr>
                <w:sz w:val="20"/>
                <w:szCs w:val="20"/>
                <w:color w:val="auto"/>
              </w:rPr>
            </w:pPr>
            <w:r>
              <w:rPr>
                <w:rFonts w:ascii="Arial" w:cs="Arial" w:eastAsia="Arial" w:hAnsi="Arial"/>
                <w:sz w:val="16"/>
                <w:szCs w:val="16"/>
                <w:color w:val="42B6E9"/>
              </w:rPr>
              <w:t>Director</w:t>
            </w:r>
          </w:p>
        </w:tc>
      </w:tr>
      <w:tr>
        <w:trPr>
          <w:trHeight w:val="324"/>
        </w:trPr>
        <w:tc>
          <w:tcPr>
            <w:tcW w:w="214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Tanzeen Syed</w:t>
            </w:r>
          </w:p>
        </w:tc>
        <w:tc>
          <w:tcPr>
            <w:tcW w:w="3270" w:type="dxa"/>
            <w:vAlign w:val="bottom"/>
            <w:shd w:val="clear" w:color="auto" w:fill="E9F8FD"/>
          </w:tcPr>
          <w:p>
            <w:pPr>
              <w:jc w:val="right"/>
              <w:ind w:right="1210"/>
              <w:spacing w:after="0"/>
              <w:rPr>
                <w:sz w:val="20"/>
                <w:szCs w:val="20"/>
                <w:color w:val="auto"/>
              </w:rPr>
            </w:pPr>
            <w:r>
              <w:rPr>
                <w:rFonts w:ascii="Arial" w:cs="Arial" w:eastAsia="Arial" w:hAnsi="Arial"/>
                <w:sz w:val="16"/>
                <w:szCs w:val="16"/>
                <w:color w:val="42B6E9"/>
              </w:rPr>
              <w:t>38</w:t>
            </w:r>
          </w:p>
        </w:tc>
        <w:tc>
          <w:tcPr>
            <w:tcW w:w="4150" w:type="dxa"/>
            <w:vAlign w:val="bottom"/>
            <w:shd w:val="clear" w:color="auto" w:fill="E9F8FD"/>
          </w:tcPr>
          <w:p>
            <w:pPr>
              <w:ind w:left="430"/>
              <w:spacing w:after="0"/>
              <w:rPr>
                <w:sz w:val="20"/>
                <w:szCs w:val="20"/>
                <w:color w:val="auto"/>
              </w:rPr>
            </w:pPr>
            <w:r>
              <w:rPr>
                <w:rFonts w:ascii="Arial" w:cs="Arial" w:eastAsia="Arial" w:hAnsi="Arial"/>
                <w:sz w:val="16"/>
                <w:szCs w:val="16"/>
                <w:color w:val="42B6E9"/>
              </w:rPr>
              <w:t>Lead Independent Director</w:t>
            </w:r>
          </w:p>
        </w:tc>
      </w:tr>
      <w:tr>
        <w:trPr>
          <w:trHeight w:val="324"/>
        </w:trPr>
        <w:tc>
          <w:tcPr>
            <w:tcW w:w="214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Stephanie Tilenius</w:t>
            </w:r>
          </w:p>
        </w:tc>
        <w:tc>
          <w:tcPr>
            <w:tcW w:w="3270" w:type="dxa"/>
            <w:vAlign w:val="bottom"/>
            <w:shd w:val="clear" w:color="auto" w:fill="E9F8FD"/>
          </w:tcPr>
          <w:p>
            <w:pPr>
              <w:jc w:val="right"/>
              <w:ind w:right="1210"/>
              <w:spacing w:after="0"/>
              <w:rPr>
                <w:sz w:val="20"/>
                <w:szCs w:val="20"/>
                <w:color w:val="auto"/>
              </w:rPr>
            </w:pPr>
            <w:r>
              <w:rPr>
                <w:rFonts w:ascii="Arial" w:cs="Arial" w:eastAsia="Arial" w:hAnsi="Arial"/>
                <w:sz w:val="16"/>
                <w:szCs w:val="16"/>
                <w:color w:val="42B6E9"/>
              </w:rPr>
              <w:t>53</w:t>
            </w:r>
          </w:p>
        </w:tc>
        <w:tc>
          <w:tcPr>
            <w:tcW w:w="4150" w:type="dxa"/>
            <w:vAlign w:val="bottom"/>
            <w:shd w:val="clear" w:color="auto" w:fill="E9F8FD"/>
          </w:tcPr>
          <w:p>
            <w:pPr>
              <w:ind w:left="430"/>
              <w:spacing w:after="0"/>
              <w:rPr>
                <w:sz w:val="20"/>
                <w:szCs w:val="20"/>
                <w:color w:val="auto"/>
              </w:rPr>
            </w:pPr>
            <w:r>
              <w:rPr>
                <w:rFonts w:ascii="Arial" w:cs="Arial" w:eastAsia="Arial" w:hAnsi="Arial"/>
                <w:sz w:val="16"/>
                <w:szCs w:val="16"/>
                <w:color w:val="42B6E9"/>
              </w:rPr>
              <w:t>Director</w:t>
            </w:r>
          </w:p>
        </w:tc>
      </w:tr>
      <w:tr>
        <w:trPr>
          <w:trHeight w:val="324"/>
        </w:trPr>
        <w:tc>
          <w:tcPr>
            <w:tcW w:w="2140" w:type="dxa"/>
            <w:vAlign w:val="bottom"/>
            <w:shd w:val="clear" w:color="auto" w:fill="E9F8FD"/>
          </w:tcPr>
          <w:p>
            <w:pPr>
              <w:ind w:left="60"/>
              <w:spacing w:after="0"/>
              <w:rPr>
                <w:sz w:val="20"/>
                <w:szCs w:val="20"/>
                <w:color w:val="auto"/>
              </w:rPr>
            </w:pPr>
            <w:r>
              <w:rPr>
                <w:rFonts w:ascii="Arial" w:cs="Arial" w:eastAsia="Arial" w:hAnsi="Arial"/>
                <w:sz w:val="16"/>
                <w:szCs w:val="16"/>
                <w:color w:val="42B6E9"/>
              </w:rPr>
              <w:t>Hans Tung</w:t>
            </w:r>
          </w:p>
        </w:tc>
        <w:tc>
          <w:tcPr>
            <w:tcW w:w="3270" w:type="dxa"/>
            <w:vAlign w:val="bottom"/>
            <w:shd w:val="clear" w:color="auto" w:fill="E9F8FD"/>
          </w:tcPr>
          <w:p>
            <w:pPr>
              <w:jc w:val="right"/>
              <w:ind w:right="1210"/>
              <w:spacing w:after="0"/>
              <w:rPr>
                <w:sz w:val="20"/>
                <w:szCs w:val="20"/>
                <w:color w:val="auto"/>
              </w:rPr>
            </w:pPr>
            <w:r>
              <w:rPr>
                <w:rFonts w:ascii="Arial" w:cs="Arial" w:eastAsia="Arial" w:hAnsi="Arial"/>
                <w:sz w:val="16"/>
                <w:szCs w:val="16"/>
                <w:color w:val="42B6E9"/>
              </w:rPr>
              <w:t>50</w:t>
            </w:r>
          </w:p>
        </w:tc>
        <w:tc>
          <w:tcPr>
            <w:tcW w:w="4150" w:type="dxa"/>
            <w:vAlign w:val="bottom"/>
            <w:shd w:val="clear" w:color="auto" w:fill="E9F8FD"/>
          </w:tcPr>
          <w:p>
            <w:pPr>
              <w:ind w:left="430"/>
              <w:spacing w:after="0"/>
              <w:rPr>
                <w:sz w:val="20"/>
                <w:szCs w:val="20"/>
                <w:color w:val="auto"/>
              </w:rPr>
            </w:pPr>
            <w:r>
              <w:rPr>
                <w:rFonts w:ascii="Arial" w:cs="Arial" w:eastAsia="Arial" w:hAnsi="Arial"/>
                <w:sz w:val="16"/>
                <w:szCs w:val="16"/>
                <w:color w:val="42B6E9"/>
              </w:rPr>
              <w:t>Director</w:t>
            </w:r>
          </w:p>
        </w:tc>
      </w:tr>
      <w:tr>
        <w:trPr>
          <w:trHeight w:val="60"/>
        </w:trPr>
        <w:tc>
          <w:tcPr>
            <w:tcW w:w="2140" w:type="dxa"/>
            <w:vAlign w:val="bottom"/>
            <w:shd w:val="clear" w:color="auto" w:fill="E9F8FD"/>
          </w:tcPr>
          <w:p>
            <w:pPr>
              <w:spacing w:after="0"/>
              <w:rPr>
                <w:sz w:val="5"/>
                <w:szCs w:val="5"/>
                <w:color w:val="auto"/>
              </w:rPr>
            </w:pPr>
          </w:p>
        </w:tc>
        <w:tc>
          <w:tcPr>
            <w:tcW w:w="3270" w:type="dxa"/>
            <w:vAlign w:val="bottom"/>
            <w:shd w:val="clear" w:color="auto" w:fill="E9F8FD"/>
          </w:tcPr>
          <w:p>
            <w:pPr>
              <w:spacing w:after="0"/>
              <w:rPr>
                <w:sz w:val="5"/>
                <w:szCs w:val="5"/>
                <w:color w:val="auto"/>
              </w:rPr>
            </w:pPr>
          </w:p>
        </w:tc>
        <w:tc>
          <w:tcPr>
            <w:tcW w:w="4150" w:type="dxa"/>
            <w:vAlign w:val="bottom"/>
            <w:shd w:val="clear" w:color="auto" w:fill="E9F8FD"/>
          </w:tcPr>
          <w:p>
            <w:pPr>
              <w:spacing w:after="0"/>
              <w:rPr>
                <w:sz w:val="5"/>
                <w:szCs w:val="5"/>
                <w:color w:val="auto"/>
              </w:rPr>
            </w:pPr>
          </w:p>
        </w:tc>
      </w:tr>
    </w:tbl>
    <w:p>
      <w:pPr>
        <w:spacing w:after="0" w:line="107" w:lineRule="exact"/>
        <w:rPr>
          <w:sz w:val="20"/>
          <w:szCs w:val="20"/>
          <w:color w:val="auto"/>
        </w:rPr>
      </w:pPr>
    </w:p>
    <w:p>
      <w:pPr>
        <w:ind w:left="4" w:right="320" w:firstLine="360"/>
        <w:spacing w:after="0" w:line="281" w:lineRule="auto"/>
        <w:rPr>
          <w:sz w:val="20"/>
          <w:szCs w:val="20"/>
          <w:color w:val="auto"/>
        </w:rPr>
      </w:pPr>
      <w:r>
        <w:rPr>
          <w:rFonts w:ascii="Arial" w:cs="Arial" w:eastAsia="Arial" w:hAnsi="Arial"/>
          <w:sz w:val="16"/>
          <w:szCs w:val="16"/>
          <w:color w:val="auto"/>
        </w:rPr>
        <w:t>The biographies for the director nominees set forth above are set forth in this Proxy Statement under the heading “</w:t>
      </w:r>
      <w:r>
        <w:rPr>
          <w:rFonts w:ascii="Arial" w:cs="Arial" w:eastAsia="Arial" w:hAnsi="Arial"/>
          <w:sz w:val="16"/>
          <w:szCs w:val="16"/>
          <w:i w:val="1"/>
          <w:iCs w:val="1"/>
          <w:color w:val="auto"/>
        </w:rPr>
        <w:t>Directors,</w:t>
      </w:r>
      <w:r>
        <w:rPr>
          <w:rFonts w:ascii="Arial" w:cs="Arial" w:eastAsia="Arial" w:hAnsi="Arial"/>
          <w:sz w:val="16"/>
          <w:szCs w:val="16"/>
          <w:color w:val="auto"/>
        </w:rPr>
        <w:t xml:space="preserve"> </w:t>
      </w:r>
      <w:r>
        <w:rPr>
          <w:rFonts w:ascii="Arial" w:cs="Arial" w:eastAsia="Arial" w:hAnsi="Arial"/>
          <w:sz w:val="16"/>
          <w:szCs w:val="16"/>
          <w:i w:val="1"/>
          <w:iCs w:val="1"/>
          <w:color w:val="auto"/>
        </w:rPr>
        <w:t>Executive Officers</w:t>
      </w:r>
      <w:r>
        <w:rPr>
          <w:rFonts w:ascii="Arial" w:cs="Arial" w:eastAsia="Arial" w:hAnsi="Arial"/>
          <w:sz w:val="16"/>
          <w:szCs w:val="16"/>
          <w:color w:val="auto"/>
        </w:rPr>
        <w:t>,</w:t>
      </w:r>
      <w:r>
        <w:rPr>
          <w:rFonts w:ascii="Arial" w:cs="Arial" w:eastAsia="Arial" w:hAnsi="Arial"/>
          <w:sz w:val="16"/>
          <w:szCs w:val="16"/>
          <w:i w:val="1"/>
          <w:iCs w:val="1"/>
          <w:color w:val="auto"/>
        </w:rPr>
        <w:t xml:space="preserve"> and Corporate Governance—Directors and Executive Officers</w:t>
      </w:r>
      <w:r>
        <w:rPr>
          <w:rFonts w:ascii="Arial" w:cs="Arial" w:eastAsia="Arial" w:hAnsi="Arial"/>
          <w:sz w:val="16"/>
          <w:szCs w:val="16"/>
          <w:color w:val="auto"/>
        </w:rPr>
        <w:t>.”</w:t>
      </w:r>
    </w:p>
    <w:p>
      <w:pPr>
        <w:spacing w:after="0" w:line="71" w:lineRule="exact"/>
        <w:rPr>
          <w:sz w:val="20"/>
          <w:szCs w:val="20"/>
          <w:color w:val="auto"/>
        </w:rPr>
      </w:pPr>
    </w:p>
    <w:p>
      <w:pPr>
        <w:ind w:left="4" w:right="60" w:firstLine="360"/>
        <w:spacing w:after="0" w:line="251" w:lineRule="auto"/>
        <w:rPr>
          <w:sz w:val="20"/>
          <w:szCs w:val="20"/>
          <w:color w:val="auto"/>
        </w:rPr>
      </w:pPr>
      <w:r>
        <w:rPr>
          <w:rFonts w:ascii="Arial" w:cs="Arial" w:eastAsia="Arial" w:hAnsi="Arial"/>
          <w:sz w:val="16"/>
          <w:szCs w:val="16"/>
          <w:color w:val="auto"/>
        </w:rPr>
        <w:t>We have determined that each of these director nominees possesses the requisite communication skills, personal integrity, business judgment, ability to make independent analytical inquiries, and willingness to devote adequate time and effort necessary to serve as an effective member of the Board. Other specific experiences, qualifications, attributes or skills of nominees that contributed to our conclusion that the nominees should serve as directors are noted in their biographies.</w:t>
      </w:r>
    </w:p>
    <w:p>
      <w:pPr>
        <w:spacing w:after="0" w:line="344" w:lineRule="exact"/>
        <w:rPr>
          <w:sz w:val="20"/>
          <w:szCs w:val="20"/>
          <w:color w:val="auto"/>
        </w:rPr>
      </w:pPr>
    </w:p>
    <w:p>
      <w:pPr>
        <w:ind w:left="4" w:right="420"/>
        <w:spacing w:after="0" w:line="266" w:lineRule="auto"/>
        <w:rPr>
          <w:sz w:val="20"/>
          <w:szCs w:val="20"/>
          <w:color w:val="auto"/>
        </w:rPr>
      </w:pPr>
      <w:r>
        <w:rPr>
          <w:rFonts w:ascii="Arial" w:cs="Arial" w:eastAsia="Arial" w:hAnsi="Arial"/>
          <w:sz w:val="16"/>
          <w:szCs w:val="16"/>
          <w:b w:val="1"/>
          <w:bCs w:val="1"/>
          <w:color w:val="42B6E9"/>
        </w:rPr>
        <w:t>THE BOARD OF DIRECTORS UNANIMOUSLY RECOMMENDS A VOTE “FOR” THE FOLLOWING DIRECTOR NOMINEES: PIOTR SZULCZEWSKI, JULIE BRADLEY, ARI EMANUEL, JOE LONSDALE, JACQUELINE RESES, TANZEEN SYED, STEPHANIE TILENIUS, AND HANS TUNG.</w:t>
      </w:r>
    </w:p>
    <w:p>
      <w:pPr>
        <w:spacing w:after="0" w:line="176" w:lineRule="exact"/>
        <w:rPr>
          <w:sz w:val="20"/>
          <w:szCs w:val="20"/>
          <w:color w:val="auto"/>
        </w:rPr>
      </w:pPr>
    </w:p>
    <w:p>
      <w:pPr>
        <w:ind w:left="524" w:hanging="524"/>
        <w:spacing w:after="0"/>
        <w:tabs>
          <w:tab w:leader="none" w:pos="524"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41" w:name="page42"/>
    <w:bookmarkEnd w:id="41"/>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42B6E9"/>
        </w:rPr>
        <w:t>PROPOSAL 2</w:t>
      </w:r>
    </w:p>
    <w:p>
      <w:pPr>
        <w:spacing w:after="0" w:line="10" w:lineRule="exact"/>
        <w:rPr>
          <w:sz w:val="20"/>
          <w:szCs w:val="20"/>
          <w:color w:val="auto"/>
        </w:rPr>
      </w:pPr>
    </w:p>
    <w:p>
      <w:pPr>
        <w:ind w:left="720" w:right="920"/>
        <w:spacing w:after="0" w:line="253" w:lineRule="auto"/>
        <w:rPr>
          <w:sz w:val="20"/>
          <w:szCs w:val="20"/>
          <w:color w:val="auto"/>
        </w:rPr>
      </w:pPr>
      <w:r>
        <w:rPr>
          <w:rFonts w:ascii="Arial" w:cs="Arial" w:eastAsia="Arial" w:hAnsi="Arial"/>
          <w:sz w:val="32"/>
          <w:szCs w:val="32"/>
          <w:color w:val="42B6E9"/>
        </w:rPr>
        <w:t>RATIFICATION OF APPOINTMENT OF ERNST &amp; YOUNG LLP AS OUR INDEPENDENT REGISTERED PUBLIC ACCOUNTING FIRM FOR THE FISCAL YEAR ENDING DECEMBER 31, 2021</w:t>
      </w:r>
    </w:p>
    <w:p>
      <w:pPr>
        <w:spacing w:after="0" w:line="130" w:lineRule="exact"/>
        <w:rPr>
          <w:sz w:val="20"/>
          <w:szCs w:val="20"/>
          <w:color w:val="auto"/>
        </w:rPr>
      </w:pPr>
    </w:p>
    <w:p>
      <w:pPr>
        <w:jc w:val="both"/>
        <w:ind w:left="720" w:right="800"/>
        <w:spacing w:after="0" w:line="253" w:lineRule="auto"/>
        <w:rPr>
          <w:sz w:val="20"/>
          <w:szCs w:val="20"/>
          <w:color w:val="auto"/>
        </w:rPr>
      </w:pPr>
      <w:r>
        <w:rPr>
          <w:rFonts w:ascii="Arial" w:cs="Arial" w:eastAsia="Arial" w:hAnsi="Arial"/>
          <w:sz w:val="16"/>
          <w:szCs w:val="16"/>
          <w:color w:val="auto"/>
        </w:rPr>
        <w:t>The Audit Committee of our Board of Directors has selected Ernst &amp; Young LLP as our independent registered public accounting firm for the fiscal year ending December 31, 2021 and has further directed that management submit the selection of independent auditors for ratification by the stockholders at the Annual Meeting. Ernst &amp; Young LLP has audited our financial statements since 2015.</w:t>
      </w:r>
    </w:p>
    <w:p>
      <w:pPr>
        <w:spacing w:after="0" w:line="147" w:lineRule="exact"/>
        <w:rPr>
          <w:sz w:val="20"/>
          <w:szCs w:val="20"/>
          <w:color w:val="auto"/>
        </w:rPr>
      </w:pPr>
    </w:p>
    <w:p>
      <w:pPr>
        <w:ind w:left="720" w:right="740"/>
        <w:spacing w:after="0" w:line="248" w:lineRule="auto"/>
        <w:rPr>
          <w:sz w:val="20"/>
          <w:szCs w:val="20"/>
          <w:color w:val="auto"/>
        </w:rPr>
      </w:pPr>
      <w:r>
        <w:rPr>
          <w:rFonts w:ascii="Arial" w:cs="Arial" w:eastAsia="Arial" w:hAnsi="Arial"/>
          <w:sz w:val="16"/>
          <w:szCs w:val="16"/>
          <w:color w:val="auto"/>
        </w:rPr>
        <w:t>Neither our Bylaws nor other governing documents or law require stockholder ratification of the selection of Ernst &amp; Young LLP as our independent registered public accounting firm. However, the Board is submitting the selection of Ernst &amp; Young LLP to the stockholders for ratification as a matter of good corporate practice. If the stockholders fail to ratify the selection, the Audit Committee of our Board of Directors will reconsider whether or not to retain that firm. Even if the selection is ratified, the Audit Committee of our Board of Directors in its discretion may direct the appointment of different independent auditors at any time during the year if it determines that such a change would be in the best interests of the Company and its stockholders. Representatives of Ernst &amp; Young LLP are expected to be present at the Annual Meeting, and will have the opportunity to make statements if they desire to do so and to respond to appropriate questions.</w:t>
      </w:r>
    </w:p>
    <w:p>
      <w:pPr>
        <w:spacing w:after="0" w:line="153" w:lineRule="exact"/>
        <w:rPr>
          <w:sz w:val="20"/>
          <w:szCs w:val="20"/>
          <w:color w:val="auto"/>
        </w:rPr>
      </w:pPr>
    </w:p>
    <w:p>
      <w:pPr>
        <w:ind w:left="720" w:right="860"/>
        <w:spacing w:after="0" w:line="250" w:lineRule="auto"/>
        <w:rPr>
          <w:sz w:val="20"/>
          <w:szCs w:val="20"/>
          <w:color w:val="auto"/>
        </w:rPr>
      </w:pPr>
      <w:r>
        <w:rPr>
          <w:rFonts w:ascii="Arial" w:cs="Arial" w:eastAsia="Arial" w:hAnsi="Arial"/>
          <w:sz w:val="16"/>
          <w:szCs w:val="16"/>
          <w:color w:val="auto"/>
        </w:rPr>
        <w:t>The affirmative vote of the holders of a majority of the votes cast at the Annual Meeting will be required to ratify the appointment of Ernst &amp; Young LLP as our independent registered public accounting firm for the fiscal year ending December 31, 2021. Abstentions will be counted as present for purposes of determining the presence of a quorum, but will not be considered as votes cast for or against this proposal, and will therefore have no effect on the outcome of the vote. Broker non-votes are counted towards a quorum, but are not counted for any purpose in determining whether this matter has been approved.</w:t>
      </w:r>
    </w:p>
    <w:p>
      <w:pPr>
        <w:spacing w:after="0" w:line="345" w:lineRule="exact"/>
        <w:rPr>
          <w:sz w:val="20"/>
          <w:szCs w:val="20"/>
          <w:color w:val="auto"/>
        </w:rPr>
      </w:pPr>
    </w:p>
    <w:p>
      <w:pPr>
        <w:ind w:left="720" w:right="740"/>
        <w:spacing w:after="0" w:line="266" w:lineRule="auto"/>
        <w:rPr>
          <w:sz w:val="20"/>
          <w:szCs w:val="20"/>
          <w:color w:val="auto"/>
        </w:rPr>
      </w:pPr>
      <w:r>
        <w:rPr>
          <w:rFonts w:ascii="Arial" w:cs="Arial" w:eastAsia="Arial" w:hAnsi="Arial"/>
          <w:sz w:val="16"/>
          <w:szCs w:val="16"/>
          <w:b w:val="1"/>
          <w:bCs w:val="1"/>
          <w:color w:val="42B6E9"/>
        </w:rPr>
        <w:t>THE BOARD OF DIRECTORS UNANIMOUSLY RECOMMENDS A VOTE “FOR” THE RATIFICATION OF THE APPOINTMENT OF ERNST &amp; YOUNG LLP AS OUR INDEPENDENT REGISTERED PUBLIC ACCOUNTING FIRM FOR THE FISCAL YEAR ENDING DECEMBER 31,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060"/>
              <w:spacing w:after="0"/>
              <w:rPr>
                <w:sz w:val="20"/>
                <w:szCs w:val="20"/>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37</w:t>
            </w:r>
          </w:p>
        </w:tc>
      </w:tr>
      <w:tr>
        <w:trPr>
          <w:trHeight w:val="181"/>
        </w:trPr>
        <w:tc>
          <w:tcPr>
            <w:tcW w:w="99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42" w:name="page43"/>
    <w:bookmarkEnd w:id="42"/>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42B6E9"/>
        </w:rPr>
        <w:t>PROPOSAL 3</w:t>
      </w:r>
    </w:p>
    <w:p>
      <w:pPr>
        <w:spacing w:after="0" w:line="10" w:lineRule="exact"/>
        <w:rPr>
          <w:sz w:val="20"/>
          <w:szCs w:val="20"/>
          <w:color w:val="auto"/>
        </w:rPr>
      </w:pPr>
    </w:p>
    <w:p>
      <w:pPr>
        <w:jc w:val="both"/>
        <w:ind w:left="4" w:right="780"/>
        <w:spacing w:after="0" w:line="253" w:lineRule="auto"/>
        <w:rPr>
          <w:sz w:val="20"/>
          <w:szCs w:val="20"/>
          <w:color w:val="auto"/>
        </w:rPr>
      </w:pPr>
      <w:r>
        <w:rPr>
          <w:rFonts w:ascii="Arial" w:cs="Arial" w:eastAsia="Arial" w:hAnsi="Arial"/>
          <w:sz w:val="32"/>
          <w:szCs w:val="32"/>
          <w:color w:val="42B6E9"/>
        </w:rPr>
        <w:t>ADVISORY APPROVAL OF THE COMPANY’S EXECUTIVE COMPENSATION FOR THE YEAR ENDED DECEMBER 31, 2020</w:t>
      </w:r>
    </w:p>
    <w:p>
      <w:pPr>
        <w:spacing w:after="0" w:line="130" w:lineRule="exact"/>
        <w:rPr>
          <w:sz w:val="20"/>
          <w:szCs w:val="20"/>
          <w:color w:val="auto"/>
        </w:rPr>
      </w:pPr>
    </w:p>
    <w:p>
      <w:pPr>
        <w:ind w:left="4" w:right="160"/>
        <w:spacing w:after="0" w:line="250" w:lineRule="auto"/>
        <w:rPr>
          <w:sz w:val="20"/>
          <w:szCs w:val="20"/>
          <w:color w:val="auto"/>
        </w:rPr>
      </w:pPr>
      <w:r>
        <w:rPr>
          <w:rFonts w:ascii="Arial" w:cs="Arial" w:eastAsia="Arial" w:hAnsi="Arial"/>
          <w:sz w:val="16"/>
          <w:szCs w:val="16"/>
          <w:color w:val="auto"/>
        </w:rPr>
        <w:t>In accordance with SEC rules, stockholders are being asked to approve, on a non-binding advisory basis, the compensation of our named executive officers for the year ended December 31, 2020 as disclosed in this Proxy Statement. This is commonly referred to as a “Say on Pay” proposal and gives our stockholders the opportunity to express their views on our named executive officers’ compensation as a whole. This vote is not intended to address any specific item of compensation, but rather, the overall compensation of our named executive officers and the philosophy, policies, and practices described in this Proxy Statement.</w:t>
      </w:r>
    </w:p>
    <w:p>
      <w:pPr>
        <w:spacing w:after="0" w:line="133" w:lineRule="exact"/>
        <w:rPr>
          <w:sz w:val="20"/>
          <w:szCs w:val="20"/>
          <w:color w:val="auto"/>
        </w:rPr>
      </w:pPr>
    </w:p>
    <w:p>
      <w:pPr>
        <w:ind w:left="4"/>
        <w:spacing w:after="0"/>
        <w:rPr>
          <w:rFonts w:ascii="Arial" w:cs="Arial" w:eastAsia="Arial" w:hAnsi="Arial"/>
          <w:sz w:val="16"/>
          <w:szCs w:val="16"/>
          <w:color w:val="auto"/>
        </w:rPr>
      </w:pPr>
      <w:r>
        <w:rPr>
          <w:rFonts w:ascii="Arial" w:cs="Arial" w:eastAsia="Arial" w:hAnsi="Arial"/>
          <w:sz w:val="16"/>
          <w:szCs w:val="16"/>
          <w:color w:val="auto"/>
        </w:rPr>
        <w:t>As described further in the “</w:t>
      </w:r>
      <w:r>
        <w:rPr>
          <w:rFonts w:ascii="Arial" w:cs="Arial" w:eastAsia="Arial" w:hAnsi="Arial"/>
          <w:sz w:val="16"/>
          <w:szCs w:val="16"/>
          <w:i w:val="1"/>
          <w:iCs w:val="1"/>
          <w:color w:val="auto"/>
        </w:rPr>
        <w:t>Executive Compensation</w:t>
      </w:r>
      <w:r>
        <w:rPr>
          <w:rFonts w:ascii="Arial" w:cs="Arial" w:eastAsia="Arial" w:hAnsi="Arial"/>
          <w:sz w:val="16"/>
          <w:szCs w:val="16"/>
          <w:color w:val="auto"/>
        </w:rPr>
        <w:t xml:space="preserve">” section of this Proxy Statement, beginning on page </w:t>
      </w:r>
      <w:hyperlink w:anchor="page24">
        <w:r>
          <w:rPr>
            <w:rFonts w:ascii="Arial" w:cs="Arial" w:eastAsia="Arial" w:hAnsi="Arial"/>
            <w:sz w:val="16"/>
            <w:szCs w:val="16"/>
            <w:u w:val="single" w:color="auto"/>
            <w:color w:val="0000EE"/>
          </w:rPr>
          <w:t>19</w:t>
        </w:r>
      </w:hyperlink>
      <w:r>
        <w:rPr>
          <w:rFonts w:ascii="Arial" w:cs="Arial" w:eastAsia="Arial" w:hAnsi="Arial"/>
          <w:sz w:val="16"/>
          <w:szCs w:val="16"/>
          <w:color w:val="auto"/>
        </w:rPr>
        <w:t>, including the</w:t>
      </w:r>
    </w:p>
    <w:p>
      <w:pPr>
        <w:spacing w:after="0" w:line="21" w:lineRule="exact"/>
        <w:rPr>
          <w:sz w:val="20"/>
          <w:szCs w:val="20"/>
          <w:color w:val="auto"/>
        </w:rPr>
      </w:pPr>
    </w:p>
    <w:p>
      <w:pPr>
        <w:ind w:left="4"/>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and the related tables and narrative, the primary goals of our compensation programs are to fairly compensate employees, attract and retain highly qualified employees, motivate the performance of our employees, reward the achievement of clearly defined corporate goals, and align our employees’ long-term interests with those of our stockholders. We believe our compensation programs reflect a pay-for-performance philosophy that links potential significant compensatory rewards to achievement of corporate operating goals and increase in stockholder value.</w:t>
      </w:r>
    </w:p>
    <w:p>
      <w:pPr>
        <w:spacing w:after="0" w:line="149" w:lineRule="exact"/>
        <w:rPr>
          <w:sz w:val="20"/>
          <w:szCs w:val="20"/>
          <w:color w:val="auto"/>
        </w:rPr>
      </w:pPr>
    </w:p>
    <w:p>
      <w:pPr>
        <w:ind w:left="4" w:right="180"/>
        <w:spacing w:after="0" w:line="253" w:lineRule="auto"/>
        <w:rPr>
          <w:sz w:val="20"/>
          <w:szCs w:val="20"/>
          <w:color w:val="auto"/>
        </w:rPr>
      </w:pPr>
      <w:r>
        <w:rPr>
          <w:rFonts w:ascii="Arial" w:cs="Arial" w:eastAsia="Arial" w:hAnsi="Arial"/>
          <w:sz w:val="16"/>
          <w:szCs w:val="16"/>
          <w:color w:val="auto"/>
        </w:rPr>
        <w:t>This Say on Pay vote is advisory, and therefore not binding on our Compensation Committee or Board of Directors. Our Board of Directors and our Compensation Committee value the opinions of our stockholders, however, and will carefully review and consider the voting results when evaluating our executive compensation programs.</w:t>
      </w:r>
    </w:p>
    <w:p>
      <w:pPr>
        <w:spacing w:after="0" w:line="355" w:lineRule="exact"/>
        <w:rPr>
          <w:sz w:val="20"/>
          <w:szCs w:val="20"/>
          <w:color w:val="auto"/>
        </w:rPr>
      </w:pPr>
    </w:p>
    <w:p>
      <w:pPr>
        <w:ind w:left="4"/>
        <w:spacing w:after="0"/>
        <w:rPr>
          <w:sz w:val="20"/>
          <w:szCs w:val="20"/>
          <w:color w:val="auto"/>
        </w:rPr>
      </w:pPr>
      <w:r>
        <w:rPr>
          <w:rFonts w:ascii="Arial" w:cs="Arial" w:eastAsia="Arial" w:hAnsi="Arial"/>
          <w:sz w:val="26"/>
          <w:szCs w:val="26"/>
          <w:color w:val="42B6E9"/>
        </w:rPr>
        <w:t>Recommendation</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Board recommends that you vote in favor of the following resolution:</w:t>
      </w:r>
    </w:p>
    <w:p>
      <w:pPr>
        <w:spacing w:after="0" w:line="167" w:lineRule="exact"/>
        <w:rPr>
          <w:sz w:val="20"/>
          <w:szCs w:val="20"/>
          <w:color w:val="auto"/>
        </w:rPr>
      </w:pPr>
    </w:p>
    <w:p>
      <w:pPr>
        <w:ind w:left="364" w:right="340"/>
        <w:spacing w:after="0" w:line="251" w:lineRule="auto"/>
        <w:rPr>
          <w:sz w:val="20"/>
          <w:szCs w:val="20"/>
          <w:color w:val="auto"/>
        </w:rPr>
      </w:pPr>
      <w:r>
        <w:rPr>
          <w:rFonts w:ascii="Arial" w:cs="Arial" w:eastAsia="Arial" w:hAnsi="Arial"/>
          <w:sz w:val="16"/>
          <w:szCs w:val="16"/>
          <w:color w:val="auto"/>
        </w:rPr>
        <w:t>“RESOLVED, that the stockholders of ContextLogic Inc. approve, on an advisory basis, the compensation of the Company’s named executive officers as disclosed in the Company’s 2021 Proxy Statement pursuant to the Securities and Exchange Commission’s compensation disclosure rules, including the Compensation Discussion and Analysis and Executive Compensation sections.”</w:t>
      </w:r>
    </w:p>
    <w:p>
      <w:pPr>
        <w:spacing w:after="0" w:line="148" w:lineRule="exact"/>
        <w:rPr>
          <w:sz w:val="20"/>
          <w:szCs w:val="20"/>
          <w:color w:val="auto"/>
        </w:rPr>
      </w:pPr>
    </w:p>
    <w:p>
      <w:pPr>
        <w:jc w:val="both"/>
        <w:ind w:left="4" w:right="100"/>
        <w:spacing w:after="0" w:line="251" w:lineRule="auto"/>
        <w:rPr>
          <w:sz w:val="20"/>
          <w:szCs w:val="20"/>
          <w:color w:val="auto"/>
        </w:rPr>
      </w:pPr>
      <w:r>
        <w:rPr>
          <w:rFonts w:ascii="Arial" w:cs="Arial" w:eastAsia="Arial" w:hAnsi="Arial"/>
          <w:sz w:val="16"/>
          <w:szCs w:val="16"/>
          <w:color w:val="auto"/>
        </w:rPr>
        <w:t>If a quorum is present, the proposal to approve, on an advisory basis, the compensation of the Company’s named executive officers requires a “For” vote from the majority the votes cast at the Annual Meeting. Abstentions and broker non-votes will each be counted as present for purposes of determining the presence of a quorum but will not be considered as votes cast for or against the proposal and will therefore have no effect on the outcome of the vote.</w:t>
      </w:r>
    </w:p>
    <w:p>
      <w:pPr>
        <w:spacing w:after="0" w:line="358" w:lineRule="exact"/>
        <w:rPr>
          <w:sz w:val="20"/>
          <w:szCs w:val="20"/>
          <w:color w:val="auto"/>
        </w:rPr>
      </w:pPr>
    </w:p>
    <w:p>
      <w:pPr>
        <w:ind w:left="4" w:right="200"/>
        <w:spacing w:after="0" w:line="286" w:lineRule="auto"/>
        <w:rPr>
          <w:sz w:val="20"/>
          <w:szCs w:val="20"/>
          <w:color w:val="auto"/>
        </w:rPr>
      </w:pPr>
      <w:r>
        <w:rPr>
          <w:rFonts w:ascii="Arial" w:cs="Arial" w:eastAsia="Arial" w:hAnsi="Arial"/>
          <w:sz w:val="16"/>
          <w:szCs w:val="16"/>
          <w:b w:val="1"/>
          <w:bCs w:val="1"/>
          <w:color w:val="42B6E9"/>
        </w:rPr>
        <w:t>THE BOARD OF DIRECTORS UNANIMOUSLY RECOMMENDS A VOTE “FOR” ADVISORY APPROVAL OF THE COMPANY’S EXECUTIVE COMPENSATION.</w:t>
      </w:r>
    </w:p>
    <w:p>
      <w:pPr>
        <w:spacing w:after="0" w:line="160" w:lineRule="exact"/>
        <w:rPr>
          <w:sz w:val="20"/>
          <w:szCs w:val="20"/>
          <w:color w:val="auto"/>
        </w:rPr>
      </w:pPr>
    </w:p>
    <w:p>
      <w:pPr>
        <w:ind w:left="524" w:hanging="524"/>
        <w:spacing w:after="0"/>
        <w:tabs>
          <w:tab w:leader="none" w:pos="524" w:val="left"/>
        </w:tabs>
        <w:numPr>
          <w:ilvl w:val="0"/>
          <w:numId w:val="57"/>
        </w:numPr>
        <w:rPr>
          <w:rFonts w:ascii="Arial" w:cs="Arial" w:eastAsia="Arial" w:hAnsi="Arial"/>
          <w:sz w:val="14"/>
          <w:szCs w:val="14"/>
          <w:b w:val="1"/>
          <w:bCs w:val="1"/>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43" w:name="page44"/>
    <w:bookmarkEnd w:id="43"/>
    <w:p>
      <w:pPr>
        <w:ind w:left="7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right="1300"/>
        <w:spacing w:after="0" w:line="253" w:lineRule="auto"/>
        <w:rPr>
          <w:sz w:val="20"/>
          <w:szCs w:val="20"/>
          <w:color w:val="auto"/>
        </w:rPr>
      </w:pPr>
      <w:r>
        <w:rPr>
          <w:rFonts w:ascii="Arial" w:cs="Arial" w:eastAsia="Arial" w:hAnsi="Arial"/>
          <w:sz w:val="32"/>
          <w:szCs w:val="32"/>
          <w:color w:val="42B6E9"/>
        </w:rPr>
        <w:t>PROPOSAL 4—ADVISORY VOTE ON THE FREQUENCY OF THE ADVISORY VOTE ON THE COMPANY'S EXECUTIVE COMPENSATION OF ONE, TWO, OR THREE YEARS</w:t>
      </w:r>
    </w:p>
    <w:p>
      <w:pPr>
        <w:spacing w:after="0" w:line="130" w:lineRule="exact"/>
        <w:rPr>
          <w:sz w:val="20"/>
          <w:szCs w:val="20"/>
          <w:color w:val="auto"/>
        </w:rPr>
      </w:pPr>
    </w:p>
    <w:p>
      <w:pPr>
        <w:ind w:left="720" w:right="920"/>
        <w:spacing w:after="0" w:line="253" w:lineRule="auto"/>
        <w:rPr>
          <w:sz w:val="20"/>
          <w:szCs w:val="20"/>
          <w:color w:val="auto"/>
        </w:rPr>
      </w:pPr>
      <w:r>
        <w:rPr>
          <w:rFonts w:ascii="Arial" w:cs="Arial" w:eastAsia="Arial" w:hAnsi="Arial"/>
          <w:sz w:val="16"/>
          <w:szCs w:val="16"/>
          <w:color w:val="auto"/>
        </w:rPr>
        <w:t>In accordance with Section 14A of the Exchange Act, stockholders are being asked to vote on whether we should conduct an advisory vote on executive compensation (commonly referred to as a “Say On Pay” proposal and which is the subject of Proposal 3 this year) every one, two, or three years. This advisory stockholder vote is commonly known as “say-when-on-pay”.</w:t>
      </w:r>
    </w:p>
    <w:p>
      <w:pPr>
        <w:spacing w:after="0" w:line="147" w:lineRule="exact"/>
        <w:rPr>
          <w:sz w:val="20"/>
          <w:szCs w:val="20"/>
          <w:color w:val="auto"/>
        </w:rPr>
      </w:pPr>
    </w:p>
    <w:p>
      <w:pPr>
        <w:ind w:left="720" w:right="760"/>
        <w:spacing w:after="0" w:line="250" w:lineRule="auto"/>
        <w:rPr>
          <w:sz w:val="20"/>
          <w:szCs w:val="20"/>
          <w:color w:val="auto"/>
        </w:rPr>
      </w:pPr>
      <w:r>
        <w:rPr>
          <w:rFonts w:ascii="Arial" w:cs="Arial" w:eastAsia="Arial" w:hAnsi="Arial"/>
          <w:sz w:val="16"/>
          <w:szCs w:val="16"/>
          <w:color w:val="auto"/>
        </w:rPr>
        <w:t>Section 14A of the Exchange Act requires that we conduct a stockholder advisory vote of this nature at least once every six years. This proposal provides our stockholders with the opportunity to cast an advisory vote indicating their preference on how often we should include a Say On Pay proposal in our proxy materials for future stockholder meetings. By voting on this proposal, stockholders may indicate their preference for conducting the Say On Pay vote either every year, every two years, or every three years, or, stockholders may abstain from voting.</w:t>
      </w:r>
    </w:p>
    <w:p>
      <w:pPr>
        <w:spacing w:after="0" w:line="356" w:lineRule="exact"/>
        <w:rPr>
          <w:sz w:val="20"/>
          <w:szCs w:val="20"/>
          <w:color w:val="auto"/>
        </w:rPr>
      </w:pPr>
    </w:p>
    <w:p>
      <w:pPr>
        <w:ind w:left="720"/>
        <w:spacing w:after="0"/>
        <w:rPr>
          <w:sz w:val="20"/>
          <w:szCs w:val="20"/>
          <w:color w:val="auto"/>
        </w:rPr>
      </w:pPr>
      <w:r>
        <w:rPr>
          <w:rFonts w:ascii="Arial" w:cs="Arial" w:eastAsia="Arial" w:hAnsi="Arial"/>
          <w:sz w:val="26"/>
          <w:szCs w:val="26"/>
          <w:color w:val="42B6E9"/>
        </w:rPr>
        <w:t>Recommendation</w:t>
      </w:r>
    </w:p>
    <w:p>
      <w:pPr>
        <w:spacing w:after="0" w:line="19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Board recommends that you vote in favor of the following resolution:</w:t>
      </w:r>
    </w:p>
    <w:p>
      <w:pPr>
        <w:spacing w:after="0" w:line="167" w:lineRule="exact"/>
        <w:rPr>
          <w:sz w:val="20"/>
          <w:szCs w:val="20"/>
          <w:color w:val="auto"/>
        </w:rPr>
      </w:pPr>
    </w:p>
    <w:p>
      <w:pPr>
        <w:ind w:left="1080" w:right="920"/>
        <w:spacing w:after="0" w:line="260" w:lineRule="auto"/>
        <w:rPr>
          <w:sz w:val="20"/>
          <w:szCs w:val="20"/>
          <w:color w:val="auto"/>
        </w:rPr>
      </w:pPr>
      <w:r>
        <w:rPr>
          <w:rFonts w:ascii="Arial" w:cs="Arial" w:eastAsia="Arial" w:hAnsi="Arial"/>
          <w:sz w:val="16"/>
          <w:szCs w:val="16"/>
          <w:color w:val="auto"/>
        </w:rPr>
        <w:t>“RESOLVED, that the stockholders of ContextLogic Inc. approve on a non-binding advisory basis, a Say on Frequency Vote of “1 YEAR.” ”</w:t>
      </w:r>
    </w:p>
    <w:p>
      <w:pPr>
        <w:spacing w:after="0" w:line="141" w:lineRule="exact"/>
        <w:rPr>
          <w:sz w:val="20"/>
          <w:szCs w:val="20"/>
          <w:color w:val="auto"/>
        </w:rPr>
      </w:pPr>
    </w:p>
    <w:p>
      <w:pPr>
        <w:ind w:left="720" w:right="780"/>
        <w:spacing w:after="0" w:line="248" w:lineRule="auto"/>
        <w:rPr>
          <w:sz w:val="20"/>
          <w:szCs w:val="20"/>
          <w:color w:val="auto"/>
        </w:rPr>
      </w:pPr>
      <w:r>
        <w:rPr>
          <w:rFonts w:ascii="Arial" w:cs="Arial" w:eastAsia="Arial" w:hAnsi="Arial"/>
          <w:sz w:val="16"/>
          <w:szCs w:val="16"/>
          <w:color w:val="auto"/>
        </w:rPr>
        <w:t>This vote is advisory, and therefore, not binding on our Compensation Committee. Notwithstanding our Board of Directors’ recommendation and the outcome of the stockholder vote on this Proposal 4, our Board of Directors may in the future decide to conduct advisory votes on a more or less frequent basis and may vary its practice based on factors such as discussions with stockholders and the adoption of material changes to compensation programs. Our decision as to how frequently we will conduct “Say On Pay” votes will be disclosed via Form 8-K as required by the Securities and Exchange Commission. The choice of frequency that receives the highest number of votes will be considered the advisory vote of the stockholders. Abstentions and broker non-votes will not count in determining which frequency choice received the largest number of votes, and will have no direct effect on the outcome of this proposal.</w:t>
      </w:r>
    </w:p>
    <w:p>
      <w:pPr>
        <w:spacing w:after="0" w:line="363" w:lineRule="exact"/>
        <w:rPr>
          <w:sz w:val="20"/>
          <w:szCs w:val="20"/>
          <w:color w:val="auto"/>
        </w:rPr>
      </w:pPr>
    </w:p>
    <w:p>
      <w:pPr>
        <w:ind w:left="720" w:right="800"/>
        <w:spacing w:after="0" w:line="286" w:lineRule="auto"/>
        <w:rPr>
          <w:sz w:val="20"/>
          <w:szCs w:val="20"/>
          <w:color w:val="auto"/>
        </w:rPr>
      </w:pPr>
      <w:r>
        <w:rPr>
          <w:rFonts w:ascii="Arial" w:cs="Arial" w:eastAsia="Arial" w:hAnsi="Arial"/>
          <w:sz w:val="16"/>
          <w:szCs w:val="16"/>
          <w:b w:val="1"/>
          <w:bCs w:val="1"/>
          <w:color w:val="42B6E9"/>
        </w:rPr>
        <w:t>THE BOARD OF DIRECTORS RECOMMENDS A VOTE FOR A FREQUENCY OF EVERY “1 YEAR” FOR THE ADVISORY VOTE ON THE COMPANY'S EXECUTIVE COMPENSATION.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060"/>
              <w:spacing w:after="0"/>
              <w:rPr>
                <w:sz w:val="20"/>
                <w:szCs w:val="20"/>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39</w:t>
            </w:r>
          </w:p>
        </w:tc>
      </w:tr>
      <w:tr>
        <w:trPr>
          <w:trHeight w:val="167"/>
        </w:trPr>
        <w:tc>
          <w:tcPr>
            <w:tcW w:w="9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44" w:name="page45"/>
    <w:bookmarkEnd w:id="44"/>
    <w:p>
      <w:pPr>
        <w:ind w:left="4"/>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42B6E9"/>
        </w:rPr>
        <w:t>OTHER MATTERS</w:t>
      </w:r>
    </w:p>
    <w:p>
      <w:pPr>
        <w:spacing w:after="0" w:line="170" w:lineRule="exact"/>
        <w:rPr>
          <w:sz w:val="20"/>
          <w:szCs w:val="20"/>
          <w:color w:val="auto"/>
        </w:rPr>
      </w:pPr>
    </w:p>
    <w:p>
      <w:pPr>
        <w:jc w:val="both"/>
        <w:ind w:left="4"/>
        <w:spacing w:after="0" w:line="253" w:lineRule="auto"/>
        <w:rPr>
          <w:sz w:val="20"/>
          <w:szCs w:val="20"/>
          <w:color w:val="auto"/>
        </w:rPr>
      </w:pPr>
      <w:r>
        <w:rPr>
          <w:rFonts w:ascii="Arial" w:cs="Arial" w:eastAsia="Arial" w:hAnsi="Arial"/>
          <w:sz w:val="16"/>
          <w:szCs w:val="16"/>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By Order of the Board of Directors</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16"/>
          <w:szCs w:val="16"/>
          <w:color w:val="auto"/>
        </w:rPr>
        <w:t>Devang Shah</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General Counsel and Secretary</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April 28, 2021</w:t>
      </w:r>
    </w:p>
    <w:p>
      <w:pPr>
        <w:spacing w:after="0" w:line="206" w:lineRule="exact"/>
        <w:rPr>
          <w:sz w:val="20"/>
          <w:szCs w:val="20"/>
          <w:color w:val="auto"/>
        </w:rPr>
      </w:pPr>
    </w:p>
    <w:p>
      <w:pPr>
        <w:ind w:left="524" w:hanging="524"/>
        <w:spacing w:after="0"/>
        <w:tabs>
          <w:tab w:leader="none" w:pos="524"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color w:val="42B6E9"/>
        </w:rPr>
        <w:t xml:space="preserve">ContextLogic Inc. </w:t>
      </w:r>
      <w:r>
        <w:rPr>
          <w:rFonts w:ascii="Arial" w:cs="Arial" w:eastAsia="Arial" w:hAnsi="Arial"/>
          <w:sz w:val="14"/>
          <w:szCs w:val="14"/>
          <w:color w:val="42B6E9"/>
        </w:rPr>
        <w:t>Proxy Statement and 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4"/>
          </w:cols>
          <w:pgMar w:left="1156" w:top="265" w:right="127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76123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761238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92075</wp:posOffset>
            </wp:positionV>
            <wp:extent cx="5666105" cy="73380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66105" cy="7338060"/>
                    </a:xfrm>
                    <a:prstGeom prst="rect">
                      <a:avLst/>
                    </a:prstGeom>
                    <a:noFill/>
                  </pic:spPr>
                </pic:pic>
              </a:graphicData>
            </a:graphic>
          </wp:anchor>
        </w:drawing>
      </w:r>
    </w:p>
    <w:sectPr>
      <w:pgSz w:w="11900" w:h="16838" w:orient="portrait"/>
      <w:cols w:equalWidth="0" w:num="1">
        <w:col w:w="10039"/>
      </w:cols>
      <w:pgMar w:left="42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lvl w:ilvl="1">
      <w:lvlJc w:val="left"/>
      <w:lvlText w:val="(%2)"/>
      <w:numFmt w:val="decimal"/>
      <w:start w:val="1"/>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2"/>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4"/>
      <w:numFmt w:val="bullet"/>
      <w:start w:val="1"/>
    </w:lvl>
  </w:abstractNum>
  <w:abstractNum w:abstractNumId="12">
    <w:nsid w:val="440BADFC"/>
    <w:multiLevelType w:val="hybridMultilevel"/>
    <w:lvl w:ilvl="0">
      <w:lvlJc w:val="left"/>
      <w:lvlText w:val="6"/>
      <w:numFmt w:val="bullet"/>
      <w:start w:val="1"/>
    </w:lvl>
  </w:abstractNum>
  <w:abstractNum w:abstractNumId="13">
    <w:nsid w:val="5072367"/>
    <w:multiLevelType w:val="hybridMultilevel"/>
    <w:lvl w:ilvl="0">
      <w:lvlJc w:val="left"/>
      <w:lvlText w:val="8"/>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1"/>
      <w:numFmt w:val="decimal"/>
      <w:start w:val="10"/>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1"/>
      <w:numFmt w:val="decimal"/>
      <w:start w:val="12"/>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14"/>
    </w:lvl>
  </w:abstractNum>
  <w:abstractNum w:abstractNumId="25">
    <w:nsid w:val="70A64E2A"/>
    <w:multiLevelType w:val="hybridMultilevel"/>
    <w:lvl w:ilvl="0">
      <w:lvlJc w:val="left"/>
      <w:lvlText w:val="(%1)"/>
      <w:numFmt w:val="decimal"/>
      <w:start w:val="2"/>
    </w:lvl>
  </w:abstractNum>
  <w:abstractNum w:abstractNumId="26">
    <w:nsid w:val="6A2342EC"/>
    <w:multiLevelType w:val="hybridMultilevel"/>
    <w:lvl w:ilvl="0">
      <w:lvlJc w:val="left"/>
      <w:lvlText w:val="(%1)"/>
      <w:numFmt w:val="decimal"/>
      <w:start w:val="16"/>
    </w:lvl>
  </w:abstractNum>
  <w:abstractNum w:abstractNumId="27">
    <w:nsid w:val="2A487CB0"/>
    <w:multiLevelType w:val="hybridMultilevel"/>
    <w:lvl w:ilvl="0">
      <w:lvlJc w:val="left"/>
      <w:lvlText w:val="%1"/>
      <w:numFmt w:val="decimal"/>
      <w:start w:val="16"/>
    </w:lvl>
  </w:abstractNum>
  <w:abstractNum w:abstractNumId="28">
    <w:nsid w:val="1D4ED43B"/>
    <w:multiLevelType w:val="hybridMultilevel"/>
    <w:lvl w:ilvl="0">
      <w:lvlJc w:val="left"/>
      <w:lvlText w:val="%1"/>
      <w:numFmt w:val="decimal"/>
      <w:start w:val="18"/>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1"/>
      <w:numFmt w:val="decimal"/>
      <w:start w:val="20"/>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22"/>
    </w:lvl>
  </w:abstractNum>
  <w:abstractNum w:abstractNumId="38">
    <w:nsid w:val="32FFF902"/>
    <w:multiLevelType w:val="hybridMultilevel"/>
    <w:lvl w:ilvl="0">
      <w:lvlJc w:val="left"/>
      <w:lvlText w:val="%1"/>
      <w:numFmt w:val="decimal"/>
      <w:start w:val="24"/>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1"/>
      <w:numFmt w:val="decimal"/>
      <w:start w:val="26"/>
    </w:lvl>
  </w:abstractNum>
  <w:abstractNum w:abstractNumId="42">
    <w:nsid w:val="3DC240FB"/>
    <w:multiLevelType w:val="hybridMultilevel"/>
    <w:lvl w:ilvl="0">
      <w:lvlJc w:val="left"/>
      <w:lvlText w:val="(%1)"/>
      <w:numFmt w:val="decimal"/>
      <w:start w:val="1"/>
    </w:lvl>
  </w:abstractNum>
  <w:abstractNum w:abstractNumId="43">
    <w:nsid w:val="1BA026FA"/>
    <w:multiLevelType w:val="hybridMultilevel"/>
    <w:lvl w:ilvl="0">
      <w:lvlJc w:val="left"/>
      <w:lvlText w:val="%1"/>
      <w:numFmt w:val="decimal"/>
      <w:start w:val="28"/>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1)"/>
      <w:numFmt w:val="decimal"/>
      <w:start w:val="1"/>
    </w:lvl>
  </w:abstractNum>
  <w:abstractNum w:abstractNumId="47">
    <w:nsid w:val="70C6A529"/>
    <w:multiLevelType w:val="hybridMultilevel"/>
    <w:lvl w:ilvl="0">
      <w:lvlJc w:val="left"/>
      <w:lvlText w:val="%1"/>
      <w:numFmt w:val="decimal"/>
      <w:start w:val="30"/>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decimal"/>
      <w:start w:val="32"/>
    </w:lvl>
  </w:abstractNum>
  <w:abstractNum w:abstractNumId="51">
    <w:nsid w:val="23F9C13C"/>
    <w:multiLevelType w:val="hybridMultilevel"/>
    <w:lvl w:ilvl="0">
      <w:lvlJc w:val="left"/>
      <w:lvlText w:val="(%1)"/>
      <w:numFmt w:val="decimal"/>
      <w:start w:val="1"/>
    </w:lvl>
  </w:abstractNum>
  <w:abstractNum w:abstractNumId="52">
    <w:nsid w:val="649BB77C"/>
    <w:multiLevelType w:val="hybridMultilevel"/>
    <w:lvl w:ilvl="0">
      <w:lvlJc w:val="left"/>
      <w:lvlText w:val="(%1)"/>
      <w:numFmt w:val="decimal"/>
      <w:start w:val="1"/>
    </w:lvl>
  </w:abstractNum>
  <w:abstractNum w:abstractNumId="53">
    <w:nsid w:val="275AC794"/>
    <w:multiLevelType w:val="hybridMultilevel"/>
    <w:lvl w:ilvl="0">
      <w:lvlJc w:val="left"/>
      <w:lvlText w:val="%1"/>
      <w:numFmt w:val="decimal"/>
      <w:start w:val="34"/>
    </w:lvl>
  </w:abstractNum>
  <w:abstractNum w:abstractNumId="54">
    <w:nsid w:val="39386575"/>
    <w:multiLevelType w:val="hybridMultilevel"/>
    <w:lvl w:ilvl="0">
      <w:lvlJc w:val="left"/>
      <w:lvlText w:val="(%1)"/>
      <w:numFmt w:val="decimal"/>
      <w:start w:val="1"/>
    </w:lvl>
  </w:abstractNum>
  <w:abstractNum w:abstractNumId="55">
    <w:nsid w:val="1CF10FD8"/>
    <w:multiLevelType w:val="hybridMultilevel"/>
    <w:lvl w:ilvl="0">
      <w:lvlJc w:val="left"/>
      <w:lvlText w:val="%1"/>
      <w:numFmt w:val="decimal"/>
      <w:start w:val="36"/>
    </w:lvl>
  </w:abstractNum>
  <w:abstractNum w:abstractNumId="56">
    <w:nsid w:val="180115BE"/>
    <w:multiLevelType w:val="hybridMultilevel"/>
    <w:lvl w:ilvl="0">
      <w:lvlJc w:val="left"/>
      <w:lvlText w:val="%1"/>
      <w:numFmt w:val="decimal"/>
      <w:start w:val="38"/>
    </w:lvl>
  </w:abstractNum>
  <w:abstractNum w:abstractNumId="57">
    <w:nsid w:val="235BA861"/>
    <w:multiLevelType w:val="hybridMultilevel"/>
    <w:lvl w:ilvl="0">
      <w:lvlJc w:val="left"/>
      <w:lvlText w:val="%1"/>
      <w:numFmt w:val="decimal"/>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2021-04-28T15:35:52Z</dcterms:created>
  <dcterms:modified xsi:type="dcterms:W3CDTF">2021-04-28T15:35:52Z</dcterms:modified>
</cp:coreProperties>
</file>